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36C13" w14:textId="77777777" w:rsidR="00D60026" w:rsidRDefault="00724B98">
      <w:pPr>
        <w:rPr>
          <w:sz w:val="28"/>
        </w:rPr>
      </w:pPr>
      <w:r w:rsidRPr="00724B98">
        <w:rPr>
          <w:b/>
          <w:sz w:val="28"/>
        </w:rPr>
        <w:t>Where We Were!</w:t>
      </w:r>
      <w:r>
        <w:rPr>
          <w:b/>
          <w:sz w:val="28"/>
        </w:rPr>
        <w:t xml:space="preserve"> </w:t>
      </w:r>
      <w:r>
        <w:rPr>
          <w:sz w:val="28"/>
        </w:rPr>
        <w:t>(Data from last year’s Equity Lab)</w:t>
      </w:r>
    </w:p>
    <w:tbl>
      <w:tblPr>
        <w:tblW w:w="8460" w:type="dxa"/>
        <w:tblInd w:w="-5" w:type="dxa"/>
        <w:tblCellMar>
          <w:left w:w="0" w:type="dxa"/>
          <w:right w:w="0" w:type="dxa"/>
        </w:tblCellMar>
        <w:tblLook w:val="0600" w:firstRow="0" w:lastRow="0" w:firstColumn="0" w:lastColumn="0" w:noHBand="1" w:noVBand="1"/>
      </w:tblPr>
      <w:tblGrid>
        <w:gridCol w:w="1710"/>
        <w:gridCol w:w="808"/>
        <w:gridCol w:w="639"/>
        <w:gridCol w:w="719"/>
        <w:gridCol w:w="1166"/>
        <w:gridCol w:w="1619"/>
        <w:gridCol w:w="630"/>
        <w:gridCol w:w="540"/>
        <w:gridCol w:w="629"/>
      </w:tblGrid>
      <w:tr w:rsidR="00647D4F" w:rsidRPr="00724B98" w14:paraId="47F185E7" w14:textId="77777777" w:rsidTr="00647D4F">
        <w:trPr>
          <w:cantSplit/>
          <w:trHeight w:val="758"/>
        </w:trPr>
        <w:tc>
          <w:tcPr>
            <w:tcW w:w="3876" w:type="dxa"/>
            <w:gridSpan w:val="4"/>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bottom"/>
          </w:tcPr>
          <w:p w14:paraId="0575E90D" w14:textId="77777777" w:rsidR="00647D4F" w:rsidRPr="00647D4F" w:rsidRDefault="00647D4F" w:rsidP="00647D4F">
            <w:pPr>
              <w:spacing w:after="0" w:line="240" w:lineRule="auto"/>
              <w:jc w:val="center"/>
              <w:textAlignment w:val="center"/>
              <w:rPr>
                <w:rFonts w:ascii="Calibri" w:eastAsia="Times New Roman" w:hAnsi="Calibri" w:cs="Calibri"/>
                <w:b/>
                <w:bCs/>
                <w:color w:val="000000"/>
                <w:kern w:val="24"/>
                <w:sz w:val="24"/>
                <w:szCs w:val="28"/>
              </w:rPr>
            </w:pPr>
            <w:r w:rsidRPr="00724B98">
              <w:rPr>
                <w:rFonts w:ascii="Calibri" w:eastAsia="Times New Roman" w:hAnsi="Calibri" w:cs="Calibri"/>
                <w:b/>
                <w:bCs/>
                <w:color w:val="000000"/>
                <w:kern w:val="24"/>
                <w:sz w:val="28"/>
                <w:szCs w:val="40"/>
              </w:rPr>
              <w:t>2018 Inexperienced Teachers</w:t>
            </w:r>
          </w:p>
        </w:tc>
        <w:tc>
          <w:tcPr>
            <w:tcW w:w="1166" w:type="dxa"/>
            <w:tcBorders>
              <w:left w:val="single" w:sz="4" w:space="0" w:color="auto"/>
              <w:right w:val="single" w:sz="4" w:space="0" w:color="auto"/>
            </w:tcBorders>
            <w:shd w:val="clear" w:color="auto" w:fill="auto"/>
          </w:tcPr>
          <w:p w14:paraId="177A4A87" w14:textId="77777777" w:rsidR="00647D4F" w:rsidRPr="00647D4F" w:rsidRDefault="00647D4F" w:rsidP="00647D4F">
            <w:pPr>
              <w:spacing w:after="0" w:line="240" w:lineRule="auto"/>
              <w:jc w:val="center"/>
              <w:textAlignment w:val="center"/>
              <w:rPr>
                <w:rFonts w:ascii="Calibri" w:eastAsia="Times New Roman" w:hAnsi="Calibri" w:cs="Calibri"/>
                <w:b/>
                <w:bCs/>
                <w:color w:val="000000"/>
                <w:kern w:val="24"/>
                <w:sz w:val="24"/>
                <w:szCs w:val="28"/>
              </w:rPr>
            </w:pPr>
          </w:p>
        </w:tc>
        <w:tc>
          <w:tcPr>
            <w:tcW w:w="3418" w:type="dxa"/>
            <w:gridSpan w:val="4"/>
            <w:tcBorders>
              <w:top w:val="single" w:sz="4" w:space="0" w:color="000000"/>
              <w:left w:val="single" w:sz="4" w:space="0" w:color="auto"/>
              <w:bottom w:val="single" w:sz="4" w:space="0" w:color="000000"/>
              <w:right w:val="single" w:sz="4" w:space="0" w:color="000000"/>
            </w:tcBorders>
            <w:shd w:val="clear" w:color="auto" w:fill="FBF2D6"/>
            <w:vAlign w:val="bottom"/>
          </w:tcPr>
          <w:p w14:paraId="4989D65D" w14:textId="77777777" w:rsidR="00647D4F" w:rsidRPr="00647D4F" w:rsidRDefault="00647D4F" w:rsidP="00647D4F">
            <w:pPr>
              <w:spacing w:after="0" w:line="240" w:lineRule="auto"/>
              <w:jc w:val="center"/>
              <w:textAlignment w:val="center"/>
              <w:rPr>
                <w:rFonts w:eastAsia="Times New Roman" w:cstheme="minorHAnsi"/>
                <w:b/>
                <w:bCs/>
                <w:color w:val="000000" w:themeColor="text1"/>
                <w:kern w:val="24"/>
                <w:sz w:val="24"/>
                <w:szCs w:val="24"/>
              </w:rPr>
            </w:pPr>
            <w:r w:rsidRPr="00724B98">
              <w:rPr>
                <w:rFonts w:eastAsia="Times New Roman" w:cstheme="minorHAnsi"/>
                <w:b/>
                <w:bCs/>
                <w:color w:val="000000"/>
                <w:kern w:val="24"/>
                <w:sz w:val="24"/>
                <w:szCs w:val="24"/>
              </w:rPr>
              <w:t>2018 Inexperienced Leaders</w:t>
            </w:r>
          </w:p>
        </w:tc>
      </w:tr>
      <w:tr w:rsidR="00647D4F" w:rsidRPr="00724B98" w14:paraId="03D3CC53" w14:textId="77777777" w:rsidTr="00647D4F">
        <w:trPr>
          <w:cantSplit/>
          <w:trHeight w:val="758"/>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17AAB9C6" w14:textId="77777777" w:rsidR="00647D4F" w:rsidRPr="00647D4F" w:rsidRDefault="00647D4F" w:rsidP="00647D4F">
            <w:pPr>
              <w:spacing w:after="0" w:line="240" w:lineRule="auto"/>
              <w:textAlignment w:val="bottom"/>
              <w:rPr>
                <w:rFonts w:ascii="Arial" w:eastAsia="Times New Roman" w:hAnsi="Arial" w:cs="Arial"/>
                <w:sz w:val="24"/>
                <w:szCs w:val="36"/>
              </w:rPr>
            </w:pPr>
            <w:r w:rsidRPr="00647D4F">
              <w:rPr>
                <w:rFonts w:ascii="Calibri" w:eastAsia="Times New Roman" w:hAnsi="Calibri" w:cs="Calibri"/>
                <w:b/>
                <w:bCs/>
                <w:color w:val="000000"/>
                <w:kern w:val="24"/>
                <w:sz w:val="24"/>
                <w:szCs w:val="28"/>
              </w:rPr>
              <w:t>LEA</w:t>
            </w:r>
          </w:p>
        </w:tc>
        <w:tc>
          <w:tcPr>
            <w:tcW w:w="80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0BA5A604" w14:textId="77777777" w:rsidR="00647D4F" w:rsidRPr="00647D4F" w:rsidRDefault="00647D4F" w:rsidP="00647D4F">
            <w:pPr>
              <w:spacing w:after="0" w:line="240" w:lineRule="auto"/>
              <w:jc w:val="center"/>
              <w:textAlignment w:val="center"/>
              <w:rPr>
                <w:rFonts w:ascii="Arial" w:eastAsia="Times New Roman" w:hAnsi="Arial" w:cs="Arial"/>
                <w:sz w:val="24"/>
                <w:szCs w:val="36"/>
              </w:rPr>
            </w:pPr>
            <w:proofErr w:type="gramStart"/>
            <w:r w:rsidRPr="00647D4F">
              <w:rPr>
                <w:rFonts w:ascii="Calibri" w:eastAsia="Times New Roman" w:hAnsi="Calibri" w:cs="Calibri"/>
                <w:b/>
                <w:bCs/>
                <w:color w:val="000000"/>
                <w:kern w:val="24"/>
                <w:sz w:val="24"/>
                <w:szCs w:val="28"/>
              </w:rPr>
              <w:t>Total  Count</w:t>
            </w:r>
            <w:proofErr w:type="gramEnd"/>
          </w:p>
        </w:tc>
        <w:tc>
          <w:tcPr>
            <w:tcW w:w="639"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6CDEAD0F" w14:textId="77777777" w:rsidR="00647D4F" w:rsidRPr="00647D4F" w:rsidRDefault="00647D4F" w:rsidP="00647D4F">
            <w:pPr>
              <w:spacing w:after="0" w:line="240" w:lineRule="auto"/>
              <w:jc w:val="center"/>
              <w:textAlignment w:val="center"/>
              <w:rPr>
                <w:rFonts w:ascii="Arial" w:eastAsia="Times New Roman" w:hAnsi="Arial" w:cs="Arial"/>
                <w:sz w:val="24"/>
                <w:szCs w:val="36"/>
              </w:rPr>
            </w:pPr>
            <w:r w:rsidRPr="00647D4F">
              <w:rPr>
                <w:rFonts w:ascii="Calibri" w:eastAsia="Times New Roman" w:hAnsi="Calibri" w:cs="Calibri"/>
                <w:b/>
                <w:bCs/>
                <w:color w:val="000000"/>
                <w:kern w:val="24"/>
                <w:sz w:val="24"/>
                <w:szCs w:val="28"/>
              </w:rPr>
              <w:t xml:space="preserve">  #</w:t>
            </w:r>
          </w:p>
        </w:tc>
        <w:tc>
          <w:tcPr>
            <w:tcW w:w="719" w:type="dxa"/>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35A20ED6" w14:textId="77777777" w:rsidR="00647D4F" w:rsidRPr="00647D4F" w:rsidRDefault="00647D4F" w:rsidP="00647D4F">
            <w:pPr>
              <w:spacing w:after="0" w:line="240" w:lineRule="auto"/>
              <w:jc w:val="center"/>
              <w:textAlignment w:val="center"/>
              <w:rPr>
                <w:rFonts w:ascii="Arial" w:eastAsia="Times New Roman" w:hAnsi="Arial" w:cs="Arial"/>
                <w:sz w:val="24"/>
                <w:szCs w:val="36"/>
              </w:rPr>
            </w:pPr>
            <w:r w:rsidRPr="00647D4F">
              <w:rPr>
                <w:rFonts w:ascii="Calibri" w:eastAsia="Times New Roman" w:hAnsi="Calibri" w:cs="Calibri"/>
                <w:b/>
                <w:bCs/>
                <w:color w:val="000000"/>
                <w:kern w:val="24"/>
                <w:sz w:val="24"/>
                <w:szCs w:val="28"/>
              </w:rPr>
              <w:t>%</w:t>
            </w:r>
          </w:p>
        </w:tc>
        <w:tc>
          <w:tcPr>
            <w:tcW w:w="1166" w:type="dxa"/>
            <w:tcBorders>
              <w:left w:val="single" w:sz="4" w:space="0" w:color="auto"/>
              <w:right w:val="single" w:sz="4" w:space="0" w:color="auto"/>
            </w:tcBorders>
            <w:shd w:val="clear" w:color="auto" w:fill="auto"/>
          </w:tcPr>
          <w:p w14:paraId="25200149" w14:textId="77777777" w:rsidR="00647D4F" w:rsidRPr="00647D4F" w:rsidRDefault="00647D4F" w:rsidP="00647D4F">
            <w:pPr>
              <w:spacing w:after="0" w:line="240" w:lineRule="auto"/>
              <w:jc w:val="center"/>
              <w:textAlignment w:val="center"/>
              <w:rPr>
                <w:rFonts w:ascii="Calibri" w:eastAsia="Times New Roman" w:hAnsi="Calibri" w:cs="Calibri"/>
                <w:b/>
                <w:bCs/>
                <w:color w:val="000000"/>
                <w:kern w:val="24"/>
                <w:sz w:val="24"/>
                <w:szCs w:val="28"/>
              </w:rPr>
            </w:pPr>
          </w:p>
        </w:tc>
        <w:tc>
          <w:tcPr>
            <w:tcW w:w="1619" w:type="dxa"/>
            <w:tcBorders>
              <w:top w:val="single" w:sz="4" w:space="0" w:color="000000"/>
              <w:left w:val="single" w:sz="4" w:space="0" w:color="auto"/>
              <w:bottom w:val="single" w:sz="4" w:space="0" w:color="000000"/>
              <w:right w:val="single" w:sz="4" w:space="0" w:color="000000"/>
            </w:tcBorders>
            <w:shd w:val="clear" w:color="auto" w:fill="FBF2D6"/>
            <w:vAlign w:val="bottom"/>
          </w:tcPr>
          <w:p w14:paraId="57DE0351" w14:textId="77777777" w:rsidR="00647D4F" w:rsidRPr="00647D4F" w:rsidRDefault="00647D4F" w:rsidP="00647D4F">
            <w:pPr>
              <w:spacing w:after="0" w:line="240" w:lineRule="auto"/>
              <w:textAlignment w:val="bottom"/>
              <w:rPr>
                <w:rFonts w:eastAsia="Times New Roman" w:cstheme="minorHAnsi"/>
                <w:color w:val="000000" w:themeColor="text1"/>
                <w:sz w:val="24"/>
                <w:szCs w:val="24"/>
              </w:rPr>
            </w:pPr>
            <w:r w:rsidRPr="00647D4F">
              <w:rPr>
                <w:rFonts w:eastAsia="Times New Roman" w:cstheme="minorHAnsi"/>
                <w:b/>
                <w:bCs/>
                <w:color w:val="000000" w:themeColor="text1"/>
                <w:kern w:val="24"/>
                <w:sz w:val="24"/>
                <w:szCs w:val="24"/>
              </w:rPr>
              <w:t>LEA</w:t>
            </w:r>
          </w:p>
        </w:tc>
        <w:tc>
          <w:tcPr>
            <w:tcW w:w="630" w:type="dxa"/>
            <w:tcBorders>
              <w:top w:val="single" w:sz="4" w:space="0" w:color="000000"/>
              <w:left w:val="single" w:sz="4" w:space="0" w:color="000000"/>
              <w:bottom w:val="single" w:sz="4" w:space="0" w:color="000000"/>
              <w:right w:val="single" w:sz="4" w:space="0" w:color="000000"/>
            </w:tcBorders>
            <w:shd w:val="clear" w:color="auto" w:fill="FBF2D6"/>
            <w:vAlign w:val="center"/>
          </w:tcPr>
          <w:p w14:paraId="7B32244C" w14:textId="77777777" w:rsidR="00647D4F" w:rsidRPr="00647D4F" w:rsidRDefault="00647D4F" w:rsidP="00647D4F">
            <w:pPr>
              <w:spacing w:after="0" w:line="240" w:lineRule="auto"/>
              <w:jc w:val="center"/>
              <w:textAlignment w:val="center"/>
              <w:rPr>
                <w:rFonts w:eastAsia="Times New Roman" w:cstheme="minorHAnsi"/>
                <w:color w:val="000000" w:themeColor="text1"/>
                <w:sz w:val="24"/>
                <w:szCs w:val="24"/>
              </w:rPr>
            </w:pPr>
            <w:r w:rsidRPr="00647D4F">
              <w:rPr>
                <w:rFonts w:eastAsia="Times New Roman" w:cstheme="minorHAnsi"/>
                <w:b/>
                <w:bCs/>
                <w:color w:val="000000" w:themeColor="text1"/>
                <w:kern w:val="24"/>
                <w:sz w:val="24"/>
                <w:szCs w:val="24"/>
              </w:rPr>
              <w:br/>
              <w:t>Total Count</w:t>
            </w:r>
          </w:p>
        </w:tc>
        <w:tc>
          <w:tcPr>
            <w:tcW w:w="540" w:type="dxa"/>
            <w:tcBorders>
              <w:top w:val="single" w:sz="4" w:space="0" w:color="000000"/>
              <w:left w:val="single" w:sz="4" w:space="0" w:color="000000"/>
              <w:bottom w:val="single" w:sz="4" w:space="0" w:color="000000"/>
              <w:right w:val="single" w:sz="4" w:space="0" w:color="000000"/>
            </w:tcBorders>
            <w:shd w:val="clear" w:color="auto" w:fill="FBF2D6"/>
            <w:vAlign w:val="center"/>
          </w:tcPr>
          <w:p w14:paraId="4DA76AB3" w14:textId="77777777" w:rsidR="00647D4F" w:rsidRPr="00647D4F" w:rsidRDefault="00647D4F" w:rsidP="00647D4F">
            <w:pPr>
              <w:spacing w:after="0" w:line="240" w:lineRule="auto"/>
              <w:jc w:val="center"/>
              <w:textAlignment w:val="center"/>
              <w:rPr>
                <w:rFonts w:eastAsia="Times New Roman" w:cstheme="minorHAnsi"/>
                <w:color w:val="000000" w:themeColor="text1"/>
                <w:sz w:val="24"/>
                <w:szCs w:val="24"/>
              </w:rPr>
            </w:pPr>
            <w:r w:rsidRPr="00647D4F">
              <w:rPr>
                <w:rFonts w:eastAsia="Times New Roman" w:cstheme="minorHAnsi"/>
                <w:b/>
                <w:bCs/>
                <w:color w:val="000000" w:themeColor="text1"/>
                <w:kern w:val="24"/>
                <w:sz w:val="24"/>
                <w:szCs w:val="24"/>
              </w:rPr>
              <w:b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FBF2D6"/>
            <w:vAlign w:val="center"/>
          </w:tcPr>
          <w:p w14:paraId="2AB52EDE" w14:textId="77777777" w:rsidR="00647D4F" w:rsidRPr="00647D4F" w:rsidRDefault="00647D4F" w:rsidP="00647D4F">
            <w:pPr>
              <w:spacing w:after="0" w:line="240" w:lineRule="auto"/>
              <w:jc w:val="center"/>
              <w:textAlignment w:val="center"/>
              <w:rPr>
                <w:rFonts w:eastAsia="Times New Roman" w:cstheme="minorHAnsi"/>
                <w:color w:val="000000" w:themeColor="text1"/>
                <w:sz w:val="24"/>
                <w:szCs w:val="24"/>
              </w:rPr>
            </w:pPr>
            <w:r w:rsidRPr="00647D4F">
              <w:rPr>
                <w:rFonts w:eastAsia="Times New Roman" w:cstheme="minorHAnsi"/>
                <w:b/>
                <w:bCs/>
                <w:color w:val="000000" w:themeColor="text1"/>
                <w:kern w:val="24"/>
                <w:sz w:val="24"/>
                <w:szCs w:val="24"/>
              </w:rPr>
              <w:br/>
              <w:t xml:space="preserve"> %</w:t>
            </w:r>
          </w:p>
        </w:tc>
      </w:tr>
      <w:tr w:rsidR="00647D4F" w:rsidRPr="00724B98" w14:paraId="665FB93F" w14:textId="77777777" w:rsidTr="00647D4F">
        <w:trPr>
          <w:trHeight w:val="380"/>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6F523F2D"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32"/>
              </w:rPr>
              <w:t>State of Georgia</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center"/>
            <w:hideMark/>
          </w:tcPr>
          <w:p w14:paraId="414E95F0" w14:textId="77777777" w:rsidR="00647D4F" w:rsidRPr="00724B98" w:rsidRDefault="00647D4F" w:rsidP="00647D4F">
            <w:pPr>
              <w:spacing w:after="0" w:line="240" w:lineRule="auto"/>
              <w:jc w:val="center"/>
              <w:textAlignment w:val="center"/>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36"/>
              </w:rPr>
              <w:t>119332</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center"/>
            <w:hideMark/>
          </w:tcPr>
          <w:p w14:paraId="7EDAE3F0" w14:textId="77777777" w:rsidR="00647D4F" w:rsidRPr="00724B98" w:rsidRDefault="00647D4F" w:rsidP="00647D4F">
            <w:pPr>
              <w:spacing w:after="0" w:line="240" w:lineRule="auto"/>
              <w:jc w:val="center"/>
              <w:textAlignment w:val="center"/>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36"/>
              </w:rPr>
              <w:t>44196</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center"/>
            <w:hideMark/>
          </w:tcPr>
          <w:p w14:paraId="2E676088" w14:textId="77777777" w:rsidR="00647D4F" w:rsidRPr="00724B98" w:rsidRDefault="00647D4F" w:rsidP="00647D4F">
            <w:pPr>
              <w:spacing w:after="0" w:line="240" w:lineRule="auto"/>
              <w:jc w:val="center"/>
              <w:textAlignment w:val="center"/>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37%</w:t>
            </w:r>
          </w:p>
        </w:tc>
        <w:tc>
          <w:tcPr>
            <w:tcW w:w="1166" w:type="dxa"/>
            <w:tcBorders>
              <w:left w:val="single" w:sz="4" w:space="0" w:color="auto"/>
              <w:right w:val="single" w:sz="4" w:space="0" w:color="auto"/>
            </w:tcBorders>
            <w:shd w:val="clear" w:color="auto" w:fill="auto"/>
          </w:tcPr>
          <w:p w14:paraId="4EEEFC13" w14:textId="77777777" w:rsidR="00647D4F" w:rsidRPr="00724B98" w:rsidRDefault="00647D4F" w:rsidP="00647D4F">
            <w:pPr>
              <w:spacing w:after="0" w:line="240" w:lineRule="auto"/>
              <w:jc w:val="center"/>
              <w:textAlignment w:val="center"/>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4149475C"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C4220D"/>
                <w:kern w:val="24"/>
                <w:sz w:val="24"/>
                <w:szCs w:val="24"/>
              </w:rPr>
              <w:t>State of Georgia</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4361D3" w14:textId="77777777" w:rsidR="00647D4F" w:rsidRPr="00724B98" w:rsidRDefault="00647D4F" w:rsidP="00647D4F">
            <w:pPr>
              <w:spacing w:after="0" w:line="240" w:lineRule="auto"/>
              <w:jc w:val="center"/>
              <w:textAlignment w:val="center"/>
              <w:rPr>
                <w:rFonts w:eastAsia="Times New Roman" w:cstheme="minorHAnsi"/>
                <w:sz w:val="24"/>
                <w:szCs w:val="24"/>
              </w:rPr>
            </w:pPr>
            <w:r w:rsidRPr="00724B98">
              <w:rPr>
                <w:rFonts w:eastAsia="Times New Roman" w:cstheme="minorHAnsi"/>
                <w:b/>
                <w:bCs/>
                <w:color w:val="C4220D"/>
                <w:kern w:val="24"/>
                <w:sz w:val="24"/>
                <w:szCs w:val="24"/>
              </w:rPr>
              <w:t>6452</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0CA77B" w14:textId="77777777" w:rsidR="00647D4F" w:rsidRPr="00724B98" w:rsidRDefault="00647D4F" w:rsidP="00647D4F">
            <w:pPr>
              <w:spacing w:after="0" w:line="240" w:lineRule="auto"/>
              <w:jc w:val="center"/>
              <w:textAlignment w:val="center"/>
              <w:rPr>
                <w:rFonts w:eastAsia="Times New Roman" w:cstheme="minorHAnsi"/>
                <w:sz w:val="24"/>
                <w:szCs w:val="24"/>
              </w:rPr>
            </w:pPr>
            <w:r w:rsidRPr="00724B98">
              <w:rPr>
                <w:rFonts w:eastAsia="Times New Roman" w:cstheme="minorHAnsi"/>
                <w:b/>
                <w:bCs/>
                <w:color w:val="C4220D"/>
                <w:kern w:val="24"/>
                <w:sz w:val="24"/>
                <w:szCs w:val="24"/>
              </w:rPr>
              <w:t>2429</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81ECA0" w14:textId="77777777" w:rsidR="00647D4F" w:rsidRPr="00724B98" w:rsidRDefault="00647D4F" w:rsidP="00647D4F">
            <w:pPr>
              <w:spacing w:after="0" w:line="240" w:lineRule="auto"/>
              <w:jc w:val="center"/>
              <w:textAlignment w:val="center"/>
              <w:rPr>
                <w:rFonts w:eastAsia="Times New Roman" w:cstheme="minorHAnsi"/>
                <w:sz w:val="24"/>
                <w:szCs w:val="24"/>
              </w:rPr>
            </w:pPr>
            <w:r w:rsidRPr="00724B98">
              <w:rPr>
                <w:rFonts w:eastAsia="Times New Roman" w:cstheme="minorHAnsi"/>
                <w:b/>
                <w:bCs/>
                <w:color w:val="C4220D"/>
                <w:kern w:val="24"/>
                <w:sz w:val="24"/>
                <w:szCs w:val="24"/>
              </w:rPr>
              <w:t>38%</w:t>
            </w:r>
          </w:p>
        </w:tc>
      </w:tr>
      <w:tr w:rsidR="00647D4F" w:rsidRPr="00724B98" w14:paraId="51C7CF1C" w14:textId="77777777" w:rsidTr="00647D4F">
        <w:trPr>
          <w:trHeight w:val="335"/>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0152A14C"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Carroll County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5A029A4E"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961</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30E676EF"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319</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146D708A"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33%</w:t>
            </w:r>
          </w:p>
        </w:tc>
        <w:tc>
          <w:tcPr>
            <w:tcW w:w="1166" w:type="dxa"/>
            <w:tcBorders>
              <w:left w:val="single" w:sz="4" w:space="0" w:color="auto"/>
              <w:right w:val="single" w:sz="4" w:space="0" w:color="auto"/>
            </w:tcBorders>
            <w:shd w:val="clear" w:color="auto" w:fill="auto"/>
          </w:tcPr>
          <w:p w14:paraId="45831D13"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51FF2B8E"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Carroll County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36D5A1"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58</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3AE62AB"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24</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40C2A84"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41%</w:t>
            </w:r>
          </w:p>
        </w:tc>
      </w:tr>
      <w:tr w:rsidR="00647D4F" w:rsidRPr="00724B98" w14:paraId="785B8B37" w14:textId="77777777" w:rsidTr="00647D4F">
        <w:trPr>
          <w:trHeight w:val="335"/>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7961581C"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Coweta County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267E1C70"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1478</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4F15CEAD"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390</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12A6A276"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26%</w:t>
            </w:r>
          </w:p>
        </w:tc>
        <w:tc>
          <w:tcPr>
            <w:tcW w:w="1166" w:type="dxa"/>
            <w:tcBorders>
              <w:left w:val="single" w:sz="4" w:space="0" w:color="auto"/>
              <w:right w:val="single" w:sz="4" w:space="0" w:color="auto"/>
            </w:tcBorders>
            <w:shd w:val="clear" w:color="auto" w:fill="auto"/>
          </w:tcPr>
          <w:p w14:paraId="1DB333A7"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7ED15CA4"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Coweta County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0DBEAA7"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84</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FC5D1DF"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19</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311439B"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23%</w:t>
            </w:r>
          </w:p>
        </w:tc>
      </w:tr>
      <w:tr w:rsidR="00647D4F" w:rsidRPr="00724B98" w14:paraId="5A887D3F" w14:textId="77777777" w:rsidTr="00647D4F">
        <w:trPr>
          <w:trHeight w:val="335"/>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6AF8AB33"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Harris County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60CCA4DC"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331</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25DD63F7"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71</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3950BE9E"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21%</w:t>
            </w:r>
          </w:p>
        </w:tc>
        <w:tc>
          <w:tcPr>
            <w:tcW w:w="1166" w:type="dxa"/>
            <w:tcBorders>
              <w:left w:val="single" w:sz="4" w:space="0" w:color="auto"/>
              <w:right w:val="single" w:sz="4" w:space="0" w:color="auto"/>
            </w:tcBorders>
            <w:shd w:val="clear" w:color="auto" w:fill="auto"/>
          </w:tcPr>
          <w:p w14:paraId="69AD7C9A"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3F920B8B"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Harris County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0D1A70A"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60218C7"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2</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97D6494"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11%</w:t>
            </w:r>
          </w:p>
        </w:tc>
      </w:tr>
      <w:tr w:rsidR="00647D4F" w:rsidRPr="00724B98" w14:paraId="5F9C1A2B" w14:textId="77777777" w:rsidTr="00647D4F">
        <w:trPr>
          <w:trHeight w:val="245"/>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4139C0EA"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Heard County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5FAAA17B"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140</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3001C8AC"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41</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4F7C31EB"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29%</w:t>
            </w:r>
          </w:p>
        </w:tc>
        <w:tc>
          <w:tcPr>
            <w:tcW w:w="1166" w:type="dxa"/>
            <w:tcBorders>
              <w:left w:val="single" w:sz="4" w:space="0" w:color="auto"/>
              <w:right w:val="single" w:sz="4" w:space="0" w:color="auto"/>
            </w:tcBorders>
            <w:shd w:val="clear" w:color="auto" w:fill="auto"/>
          </w:tcPr>
          <w:p w14:paraId="6A93F07E"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487DEFBC"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Heard County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262D099"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3E93421"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7</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481B8D1"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70%</w:t>
            </w:r>
          </w:p>
        </w:tc>
      </w:tr>
      <w:tr w:rsidR="00647D4F" w:rsidRPr="00724B98" w14:paraId="1BE65560" w14:textId="77777777" w:rsidTr="00647D4F">
        <w:trPr>
          <w:trHeight w:val="470"/>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02A4C136"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Meriwether County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0594E314"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184</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3BD81B0F"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91</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6C92E009"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49%</w:t>
            </w:r>
          </w:p>
        </w:tc>
        <w:tc>
          <w:tcPr>
            <w:tcW w:w="1166" w:type="dxa"/>
            <w:tcBorders>
              <w:left w:val="single" w:sz="4" w:space="0" w:color="auto"/>
              <w:right w:val="single" w:sz="4" w:space="0" w:color="auto"/>
            </w:tcBorders>
            <w:shd w:val="clear" w:color="auto" w:fill="auto"/>
          </w:tcPr>
          <w:p w14:paraId="59A9A2C4"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5BD62FD0"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Meriwether County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2F52D02"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15</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2CC7586"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10</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8C580AE"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67%</w:t>
            </w:r>
          </w:p>
        </w:tc>
      </w:tr>
      <w:tr w:rsidR="00647D4F" w:rsidRPr="00724B98" w14:paraId="7A0F2B26" w14:textId="77777777" w:rsidTr="00647D4F">
        <w:trPr>
          <w:trHeight w:val="398"/>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6E660642"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Muscogee County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5B0B0FA1"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2095</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526384DB"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778</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4EEC9894"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37%</w:t>
            </w:r>
          </w:p>
        </w:tc>
        <w:tc>
          <w:tcPr>
            <w:tcW w:w="1166" w:type="dxa"/>
            <w:tcBorders>
              <w:left w:val="single" w:sz="4" w:space="0" w:color="auto"/>
              <w:right w:val="single" w:sz="4" w:space="0" w:color="auto"/>
            </w:tcBorders>
            <w:shd w:val="clear" w:color="auto" w:fill="auto"/>
          </w:tcPr>
          <w:p w14:paraId="65A6497E"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375E5DE9"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Muscogee County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A458624"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115</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837EC65"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34</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474A5F3"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30%</w:t>
            </w:r>
          </w:p>
        </w:tc>
      </w:tr>
      <w:tr w:rsidR="00647D4F" w:rsidRPr="00724B98" w14:paraId="12CB3646" w14:textId="77777777" w:rsidTr="00647D4F">
        <w:trPr>
          <w:trHeight w:val="335"/>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32F742C6"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Troup County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52C9640B"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804</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130FEA18"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302</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64944401"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38%</w:t>
            </w:r>
          </w:p>
        </w:tc>
        <w:tc>
          <w:tcPr>
            <w:tcW w:w="1166" w:type="dxa"/>
            <w:tcBorders>
              <w:left w:val="single" w:sz="4" w:space="0" w:color="auto"/>
              <w:right w:val="single" w:sz="4" w:space="0" w:color="auto"/>
            </w:tcBorders>
            <w:shd w:val="clear" w:color="auto" w:fill="auto"/>
          </w:tcPr>
          <w:p w14:paraId="2701B76D"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07E69B01"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Troup County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4D53700"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45</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2ABD955"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27</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BD8605"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60%</w:t>
            </w:r>
          </w:p>
        </w:tc>
      </w:tr>
      <w:tr w:rsidR="00647D4F" w:rsidRPr="00724B98" w14:paraId="6CA5C04C" w14:textId="77777777" w:rsidTr="00647D4F">
        <w:trPr>
          <w:trHeight w:val="335"/>
        </w:trPr>
        <w:tc>
          <w:tcPr>
            <w:tcW w:w="1710"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18EDE7B6" w14:textId="77777777" w:rsidR="00647D4F" w:rsidRPr="00724B98" w:rsidRDefault="00647D4F" w:rsidP="00647D4F">
            <w:pPr>
              <w:spacing w:after="0" w:line="240" w:lineRule="auto"/>
              <w:textAlignment w:val="bottom"/>
              <w:rPr>
                <w:rFonts w:ascii="Arial" w:eastAsia="Times New Roman" w:hAnsi="Arial" w:cs="Arial"/>
                <w:sz w:val="24"/>
                <w:szCs w:val="36"/>
              </w:rPr>
            </w:pPr>
            <w:r w:rsidRPr="00724B98">
              <w:rPr>
                <w:rFonts w:ascii="Calibri" w:eastAsia="Times New Roman" w:hAnsi="Calibri" w:cs="Calibri"/>
                <w:b/>
                <w:bCs/>
                <w:color w:val="000000"/>
                <w:kern w:val="24"/>
                <w:sz w:val="24"/>
                <w:szCs w:val="32"/>
              </w:rPr>
              <w:t xml:space="preserve">Carrollton City </w:t>
            </w:r>
          </w:p>
        </w:tc>
        <w:tc>
          <w:tcPr>
            <w:tcW w:w="808"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79DEE125"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315</w:t>
            </w:r>
          </w:p>
        </w:tc>
        <w:tc>
          <w:tcPr>
            <w:tcW w:w="639" w:type="dxa"/>
            <w:tcBorders>
              <w:top w:val="single" w:sz="4" w:space="0" w:color="000000"/>
              <w:left w:val="single" w:sz="4" w:space="0" w:color="000000"/>
              <w:bottom w:val="single" w:sz="4" w:space="0" w:color="000000"/>
              <w:right w:val="single" w:sz="4" w:space="0" w:color="000000"/>
            </w:tcBorders>
            <w:shd w:val="clear" w:color="auto" w:fill="FBF2D6"/>
            <w:tcMar>
              <w:top w:w="15" w:type="dxa"/>
              <w:left w:w="15" w:type="dxa"/>
              <w:bottom w:w="0" w:type="dxa"/>
              <w:right w:w="15" w:type="dxa"/>
            </w:tcMar>
            <w:vAlign w:val="bottom"/>
            <w:hideMark/>
          </w:tcPr>
          <w:p w14:paraId="767032D6"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color w:val="000000"/>
                <w:kern w:val="24"/>
                <w:sz w:val="24"/>
                <w:szCs w:val="36"/>
              </w:rPr>
              <w:t>126</w:t>
            </w:r>
          </w:p>
        </w:tc>
        <w:tc>
          <w:tcPr>
            <w:tcW w:w="719" w:type="dxa"/>
            <w:tcBorders>
              <w:top w:val="single" w:sz="4" w:space="0" w:color="000000"/>
              <w:left w:val="single" w:sz="4" w:space="0" w:color="000000"/>
              <w:bottom w:val="single" w:sz="4" w:space="0" w:color="000000"/>
              <w:right w:val="single" w:sz="4" w:space="0" w:color="auto"/>
            </w:tcBorders>
            <w:shd w:val="clear" w:color="auto" w:fill="FBF2D6"/>
            <w:tcMar>
              <w:top w:w="15" w:type="dxa"/>
              <w:left w:w="15" w:type="dxa"/>
              <w:bottom w:w="0" w:type="dxa"/>
              <w:right w:w="15" w:type="dxa"/>
            </w:tcMar>
            <w:vAlign w:val="bottom"/>
            <w:hideMark/>
          </w:tcPr>
          <w:p w14:paraId="495B393F" w14:textId="77777777" w:rsidR="00647D4F" w:rsidRPr="00724B98" w:rsidRDefault="00647D4F" w:rsidP="00647D4F">
            <w:pPr>
              <w:spacing w:after="0" w:line="240" w:lineRule="auto"/>
              <w:jc w:val="right"/>
              <w:textAlignment w:val="bottom"/>
              <w:rPr>
                <w:rFonts w:ascii="Arial" w:eastAsia="Times New Roman" w:hAnsi="Arial" w:cs="Arial"/>
                <w:sz w:val="24"/>
                <w:szCs w:val="36"/>
              </w:rPr>
            </w:pPr>
            <w:r w:rsidRPr="00724B98">
              <w:rPr>
                <w:rFonts w:ascii="Calibri" w:eastAsia="Times New Roman" w:hAnsi="Calibri" w:cs="Calibri"/>
                <w:b/>
                <w:bCs/>
                <w:color w:val="4472C4" w:themeColor="accent1"/>
                <w:kern w:val="24"/>
                <w:sz w:val="24"/>
                <w:szCs w:val="40"/>
              </w:rPr>
              <w:t>40%</w:t>
            </w:r>
          </w:p>
        </w:tc>
        <w:tc>
          <w:tcPr>
            <w:tcW w:w="1166" w:type="dxa"/>
            <w:tcBorders>
              <w:left w:val="single" w:sz="4" w:space="0" w:color="auto"/>
              <w:right w:val="single" w:sz="4" w:space="0" w:color="auto"/>
            </w:tcBorders>
            <w:shd w:val="clear" w:color="auto" w:fill="auto"/>
          </w:tcPr>
          <w:p w14:paraId="4BB00951" w14:textId="77777777" w:rsidR="00647D4F" w:rsidRPr="00724B98" w:rsidRDefault="00647D4F" w:rsidP="00647D4F">
            <w:pPr>
              <w:spacing w:after="0" w:line="240" w:lineRule="auto"/>
              <w:jc w:val="right"/>
              <w:textAlignment w:val="bottom"/>
              <w:rPr>
                <w:rFonts w:ascii="Calibri" w:eastAsia="Times New Roman" w:hAnsi="Calibri" w:cs="Calibri"/>
                <w:b/>
                <w:bCs/>
                <w:color w:val="4472C4" w:themeColor="accent1"/>
                <w:kern w:val="24"/>
                <w:sz w:val="24"/>
                <w:szCs w:val="40"/>
              </w:rPr>
            </w:pPr>
          </w:p>
        </w:tc>
        <w:tc>
          <w:tcPr>
            <w:tcW w:w="1619" w:type="dxa"/>
            <w:tcBorders>
              <w:top w:val="single" w:sz="4" w:space="0" w:color="000000"/>
              <w:left w:val="single" w:sz="4" w:space="0" w:color="auto"/>
              <w:bottom w:val="single" w:sz="4" w:space="0" w:color="000000"/>
              <w:right w:val="single" w:sz="4" w:space="0" w:color="000000"/>
            </w:tcBorders>
            <w:shd w:val="clear" w:color="auto" w:fill="D9D9D9"/>
            <w:vAlign w:val="bottom"/>
          </w:tcPr>
          <w:p w14:paraId="3B6243B0" w14:textId="77777777" w:rsidR="00647D4F" w:rsidRPr="00724B98" w:rsidRDefault="00647D4F" w:rsidP="00647D4F">
            <w:pPr>
              <w:spacing w:after="0" w:line="240" w:lineRule="auto"/>
              <w:textAlignment w:val="bottom"/>
              <w:rPr>
                <w:rFonts w:eastAsia="Times New Roman" w:cstheme="minorHAnsi"/>
                <w:sz w:val="24"/>
                <w:szCs w:val="24"/>
              </w:rPr>
            </w:pPr>
            <w:r w:rsidRPr="00724B98">
              <w:rPr>
                <w:rFonts w:eastAsia="Times New Roman" w:cstheme="minorHAnsi"/>
                <w:b/>
                <w:bCs/>
                <w:color w:val="000000"/>
                <w:kern w:val="24"/>
                <w:sz w:val="24"/>
                <w:szCs w:val="24"/>
              </w:rPr>
              <w:t xml:space="preserve">Carrollton City </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3CB99EB"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18</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4DCA42F"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color w:val="000000"/>
                <w:kern w:val="24"/>
                <w:sz w:val="24"/>
                <w:szCs w:val="24"/>
              </w:rPr>
              <w:t>11</w:t>
            </w:r>
          </w:p>
        </w:tc>
        <w:tc>
          <w:tcPr>
            <w:tcW w:w="6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F939AC8" w14:textId="77777777" w:rsidR="00647D4F" w:rsidRPr="00724B98" w:rsidRDefault="00647D4F" w:rsidP="00647D4F">
            <w:pPr>
              <w:spacing w:after="0" w:line="240" w:lineRule="auto"/>
              <w:jc w:val="right"/>
              <w:textAlignment w:val="bottom"/>
              <w:rPr>
                <w:rFonts w:eastAsia="Times New Roman" w:cstheme="minorHAnsi"/>
                <w:sz w:val="24"/>
                <w:szCs w:val="24"/>
              </w:rPr>
            </w:pPr>
            <w:r w:rsidRPr="00724B98">
              <w:rPr>
                <w:rFonts w:eastAsia="Times New Roman" w:cstheme="minorHAnsi"/>
                <w:b/>
                <w:bCs/>
                <w:color w:val="C4220D"/>
                <w:kern w:val="24"/>
                <w:sz w:val="24"/>
                <w:szCs w:val="24"/>
              </w:rPr>
              <w:t>61%</w:t>
            </w:r>
          </w:p>
        </w:tc>
      </w:tr>
    </w:tbl>
    <w:p w14:paraId="2DCF150D" w14:textId="77777777" w:rsidR="00724B98" w:rsidRDefault="00724B98">
      <w:pPr>
        <w:rPr>
          <w:rFonts w:cstheme="minorHAnsi"/>
          <w:sz w:val="24"/>
          <w:szCs w:val="24"/>
        </w:rPr>
      </w:pPr>
    </w:p>
    <w:tbl>
      <w:tblPr>
        <w:tblW w:w="9260" w:type="dxa"/>
        <w:tblCellMar>
          <w:left w:w="0" w:type="dxa"/>
          <w:right w:w="0" w:type="dxa"/>
        </w:tblCellMar>
        <w:tblLook w:val="0600" w:firstRow="0" w:lastRow="0" w:firstColumn="0" w:lastColumn="0" w:noHBand="1" w:noVBand="1"/>
      </w:tblPr>
      <w:tblGrid>
        <w:gridCol w:w="1630"/>
        <w:gridCol w:w="991"/>
        <w:gridCol w:w="896"/>
        <w:gridCol w:w="929"/>
        <w:gridCol w:w="1153"/>
        <w:gridCol w:w="1237"/>
        <w:gridCol w:w="1153"/>
        <w:gridCol w:w="1271"/>
      </w:tblGrid>
      <w:tr w:rsidR="004D4829" w:rsidRPr="00647D4F" w14:paraId="26768AA7" w14:textId="77777777" w:rsidTr="004D4829">
        <w:trPr>
          <w:trHeight w:val="380"/>
        </w:trPr>
        <w:tc>
          <w:tcPr>
            <w:tcW w:w="926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C676DDC" w14:textId="77777777" w:rsidR="004D4829" w:rsidRPr="00647D4F" w:rsidRDefault="004D4829" w:rsidP="004D4829">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West P-20</w:t>
            </w:r>
          </w:p>
          <w:p w14:paraId="26EE7E78" w14:textId="77777777" w:rsidR="004D4829" w:rsidRPr="00647D4F" w:rsidRDefault="004D4829" w:rsidP="004D4829">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FY 18' Ineffective Teachers</w:t>
            </w:r>
            <w:r>
              <w:rPr>
                <w:rFonts w:eastAsia="Times New Roman" w:cstheme="minorHAnsi"/>
                <w:b/>
                <w:bCs/>
                <w:color w:val="000000"/>
                <w:kern w:val="24"/>
                <w:sz w:val="24"/>
                <w:szCs w:val="24"/>
              </w:rPr>
              <w:t xml:space="preserve"> (Levels 1 &amp; 2 TKES Summative</w:t>
            </w:r>
          </w:p>
        </w:tc>
      </w:tr>
      <w:tr w:rsidR="00647D4F" w:rsidRPr="00647D4F" w14:paraId="02C83458" w14:textId="77777777" w:rsidTr="004D4829">
        <w:trPr>
          <w:trHeight w:val="1505"/>
        </w:trPr>
        <w:tc>
          <w:tcPr>
            <w:tcW w:w="1630" w:type="dxa"/>
            <w:tcBorders>
              <w:top w:val="single" w:sz="8" w:space="0" w:color="000000"/>
              <w:left w:val="single" w:sz="8" w:space="0" w:color="000000"/>
              <w:bottom w:val="single" w:sz="8" w:space="0" w:color="000000"/>
              <w:right w:val="single" w:sz="4" w:space="0" w:color="000000"/>
            </w:tcBorders>
            <w:shd w:val="clear" w:color="auto" w:fill="D6DCE4"/>
            <w:tcMar>
              <w:top w:w="15" w:type="dxa"/>
              <w:left w:w="15" w:type="dxa"/>
              <w:bottom w:w="0" w:type="dxa"/>
              <w:right w:w="15" w:type="dxa"/>
            </w:tcMar>
            <w:vAlign w:val="center"/>
            <w:hideMark/>
          </w:tcPr>
          <w:p w14:paraId="2CB1DFF7"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t>SYSTEM NAME</w:t>
            </w:r>
          </w:p>
        </w:tc>
        <w:tc>
          <w:tcPr>
            <w:tcW w:w="991" w:type="dxa"/>
            <w:tcBorders>
              <w:top w:val="single" w:sz="8" w:space="0" w:color="000000"/>
              <w:left w:val="single" w:sz="4" w:space="0" w:color="000000"/>
              <w:bottom w:val="single" w:sz="8" w:space="0" w:color="000000"/>
              <w:right w:val="single" w:sz="4" w:space="0" w:color="000000"/>
            </w:tcBorders>
            <w:shd w:val="clear" w:color="auto" w:fill="D6DCE4"/>
            <w:tcMar>
              <w:top w:w="15" w:type="dxa"/>
              <w:left w:w="15" w:type="dxa"/>
              <w:bottom w:w="0" w:type="dxa"/>
              <w:right w:w="15" w:type="dxa"/>
            </w:tcMar>
            <w:vAlign w:val="center"/>
            <w:hideMark/>
          </w:tcPr>
          <w:p w14:paraId="3EE9E285"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t>FTE FY18 Total Student Count</w:t>
            </w:r>
          </w:p>
        </w:tc>
        <w:tc>
          <w:tcPr>
            <w:tcW w:w="896" w:type="dxa"/>
            <w:tcBorders>
              <w:top w:val="single" w:sz="8" w:space="0" w:color="000000"/>
              <w:left w:val="single" w:sz="4" w:space="0" w:color="000000"/>
              <w:bottom w:val="single" w:sz="8" w:space="0" w:color="000000"/>
              <w:right w:val="single" w:sz="8" w:space="0" w:color="000000"/>
            </w:tcBorders>
            <w:shd w:val="clear" w:color="auto" w:fill="D6DCE4"/>
            <w:tcMar>
              <w:top w:w="15" w:type="dxa"/>
              <w:left w:w="15" w:type="dxa"/>
              <w:bottom w:w="0" w:type="dxa"/>
              <w:right w:w="15" w:type="dxa"/>
            </w:tcMar>
            <w:vAlign w:val="center"/>
            <w:hideMark/>
          </w:tcPr>
          <w:p w14:paraId="2DA3CF5A"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t>FY18 Total Teachers Count</w:t>
            </w:r>
          </w:p>
        </w:tc>
        <w:tc>
          <w:tcPr>
            <w:tcW w:w="929" w:type="dxa"/>
            <w:tcBorders>
              <w:top w:val="single" w:sz="8" w:space="0" w:color="000000"/>
              <w:left w:val="single" w:sz="8"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00566AAB" w14:textId="77777777" w:rsidR="004D4829" w:rsidRPr="00647D4F" w:rsidRDefault="00647D4F" w:rsidP="004D4829">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br/>
              <w:t xml:space="preserve">% of Teachers </w:t>
            </w:r>
          </w:p>
          <w:p w14:paraId="0E46D3BA" w14:textId="77777777" w:rsidR="00647D4F" w:rsidRPr="00647D4F" w:rsidRDefault="00647D4F" w:rsidP="00647D4F">
            <w:pPr>
              <w:spacing w:after="0" w:line="240" w:lineRule="auto"/>
              <w:jc w:val="center"/>
              <w:textAlignment w:val="center"/>
              <w:rPr>
                <w:rFonts w:eastAsia="Times New Roman" w:cstheme="minorHAnsi"/>
                <w:sz w:val="24"/>
                <w:szCs w:val="24"/>
              </w:rPr>
            </w:pPr>
          </w:p>
        </w:tc>
        <w:tc>
          <w:tcPr>
            <w:tcW w:w="1153"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4E35437D"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t>% of Students Taught by Level I &amp; II</w:t>
            </w:r>
          </w:p>
        </w:tc>
        <w:tc>
          <w:tcPr>
            <w:tcW w:w="1237"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6C6AEE1A"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t># of Students Taught by Level I &amp; II</w:t>
            </w:r>
          </w:p>
        </w:tc>
        <w:tc>
          <w:tcPr>
            <w:tcW w:w="1153"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5D3D49BD"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t>% of Students (by course) Taught by Level I &amp; II</w:t>
            </w:r>
          </w:p>
        </w:tc>
        <w:tc>
          <w:tcPr>
            <w:tcW w:w="1271" w:type="dxa"/>
            <w:tcBorders>
              <w:top w:val="single" w:sz="8" w:space="0" w:color="000000"/>
              <w:left w:val="single" w:sz="4" w:space="0" w:color="000000"/>
              <w:bottom w:val="single" w:sz="8" w:space="0" w:color="000000"/>
              <w:right w:val="single" w:sz="8" w:space="0" w:color="000000"/>
            </w:tcBorders>
            <w:shd w:val="clear" w:color="auto" w:fill="FFF2CC"/>
            <w:tcMar>
              <w:top w:w="15" w:type="dxa"/>
              <w:left w:w="15" w:type="dxa"/>
              <w:bottom w:w="0" w:type="dxa"/>
              <w:right w:w="15" w:type="dxa"/>
            </w:tcMar>
            <w:vAlign w:val="center"/>
            <w:hideMark/>
          </w:tcPr>
          <w:p w14:paraId="1342BFE3"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000000"/>
                <w:kern w:val="24"/>
                <w:sz w:val="24"/>
                <w:szCs w:val="24"/>
              </w:rPr>
              <w:t># of Students (by course) Taught by Level I &amp; II</w:t>
            </w:r>
          </w:p>
        </w:tc>
      </w:tr>
      <w:tr w:rsidR="00647D4F" w:rsidRPr="00647D4F" w14:paraId="7951E537" w14:textId="77777777" w:rsidTr="004D4829">
        <w:trPr>
          <w:trHeight w:val="352"/>
        </w:trPr>
        <w:tc>
          <w:tcPr>
            <w:tcW w:w="163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8CD561"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Carroll  </w:t>
            </w:r>
          </w:p>
        </w:tc>
        <w:tc>
          <w:tcPr>
            <w:tcW w:w="99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E2DA09"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14,877</w:t>
            </w:r>
          </w:p>
        </w:tc>
        <w:tc>
          <w:tcPr>
            <w:tcW w:w="896"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7D3560D"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961</w:t>
            </w:r>
          </w:p>
        </w:tc>
        <w:tc>
          <w:tcPr>
            <w:tcW w:w="929"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98EED7"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1.10%</w:t>
            </w:r>
          </w:p>
        </w:tc>
        <w:tc>
          <w:tcPr>
            <w:tcW w:w="115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0F77D7"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5.50%</w:t>
            </w:r>
          </w:p>
        </w:tc>
        <w:tc>
          <w:tcPr>
            <w:tcW w:w="123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751C65"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863</w:t>
            </w:r>
          </w:p>
        </w:tc>
        <w:tc>
          <w:tcPr>
            <w:tcW w:w="115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CF0564"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1.20%</w:t>
            </w:r>
          </w:p>
        </w:tc>
        <w:tc>
          <w:tcPr>
            <w:tcW w:w="1271"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270EAEBA"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1398</w:t>
            </w:r>
          </w:p>
        </w:tc>
      </w:tr>
      <w:tr w:rsidR="00647D4F" w:rsidRPr="00647D4F" w14:paraId="53E44C23" w14:textId="77777777" w:rsidTr="004D4829">
        <w:trPr>
          <w:trHeight w:val="335"/>
        </w:trPr>
        <w:tc>
          <w:tcPr>
            <w:tcW w:w="16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D37267"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Coweta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BD8CA56"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22,810</w:t>
            </w:r>
          </w:p>
        </w:tc>
        <w:tc>
          <w:tcPr>
            <w:tcW w:w="89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36D714D1"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1478</w:t>
            </w:r>
          </w:p>
        </w:tc>
        <w:tc>
          <w:tcPr>
            <w:tcW w:w="92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466C04"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0.91%</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AACA57"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5.48%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21533B"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1296</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82E04A"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1.18%</w:t>
            </w: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3E35943"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2243</w:t>
            </w:r>
          </w:p>
        </w:tc>
      </w:tr>
      <w:tr w:rsidR="00647D4F" w:rsidRPr="00647D4F" w14:paraId="225E24BA" w14:textId="77777777" w:rsidTr="004D4829">
        <w:trPr>
          <w:trHeight w:val="335"/>
        </w:trPr>
        <w:tc>
          <w:tcPr>
            <w:tcW w:w="16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49AAA9"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Harris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250E54"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5,294</w:t>
            </w:r>
          </w:p>
        </w:tc>
        <w:tc>
          <w:tcPr>
            <w:tcW w:w="89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1A38CF3"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331</w:t>
            </w:r>
          </w:p>
        </w:tc>
        <w:tc>
          <w:tcPr>
            <w:tcW w:w="92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A63175A"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0.31%</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839FB4"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0.31%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928538"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17</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A0DA476"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0.21%</w:t>
            </w: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86B2B04"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101</w:t>
            </w:r>
          </w:p>
        </w:tc>
      </w:tr>
      <w:tr w:rsidR="00647D4F" w:rsidRPr="00647D4F" w14:paraId="7A9953DC" w14:textId="77777777" w:rsidTr="004D4829">
        <w:trPr>
          <w:trHeight w:val="245"/>
        </w:trPr>
        <w:tc>
          <w:tcPr>
            <w:tcW w:w="16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B3B91B"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Heard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D109DD"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2,116</w:t>
            </w:r>
          </w:p>
        </w:tc>
        <w:tc>
          <w:tcPr>
            <w:tcW w:w="89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37440F2"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140</w:t>
            </w:r>
          </w:p>
        </w:tc>
        <w:tc>
          <w:tcPr>
            <w:tcW w:w="92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DEC5FB3"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0.00%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20436C"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0.00%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0C76792"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CDCFDA3"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0.00%</w:t>
            </w: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4FB5FDC"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w:t>
            </w:r>
          </w:p>
        </w:tc>
      </w:tr>
      <w:tr w:rsidR="00647D4F" w:rsidRPr="00647D4F" w14:paraId="1EC903C7" w14:textId="77777777" w:rsidTr="004D4829">
        <w:trPr>
          <w:trHeight w:val="290"/>
        </w:trPr>
        <w:tc>
          <w:tcPr>
            <w:tcW w:w="16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331010"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Meriwether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FC1A71"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2,761</w:t>
            </w:r>
          </w:p>
        </w:tc>
        <w:tc>
          <w:tcPr>
            <w:tcW w:w="89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E8F38B7"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184</w:t>
            </w:r>
          </w:p>
        </w:tc>
        <w:tc>
          <w:tcPr>
            <w:tcW w:w="92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7FB240"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9.25%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E61F10"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41.12%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F426C2C"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1200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3CB923"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12.97%</w:t>
            </w: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E9755F2"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2622</w:t>
            </w:r>
          </w:p>
        </w:tc>
      </w:tr>
      <w:tr w:rsidR="00647D4F" w:rsidRPr="00647D4F" w14:paraId="6C16D4C4" w14:textId="77777777" w:rsidTr="004D4829">
        <w:trPr>
          <w:trHeight w:val="335"/>
        </w:trPr>
        <w:tc>
          <w:tcPr>
            <w:tcW w:w="16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A29B1F"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Muscogee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925C616"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31,763</w:t>
            </w:r>
          </w:p>
        </w:tc>
        <w:tc>
          <w:tcPr>
            <w:tcW w:w="89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92CFAF4"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2095</w:t>
            </w:r>
          </w:p>
        </w:tc>
        <w:tc>
          <w:tcPr>
            <w:tcW w:w="92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A44EFD"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3.89%</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770C6A"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21.71%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240371"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7246</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A4E416"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5.36%</w:t>
            </w: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31CEF842"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12962</w:t>
            </w:r>
          </w:p>
        </w:tc>
      </w:tr>
      <w:tr w:rsidR="00647D4F" w:rsidRPr="00647D4F" w14:paraId="23EEA513" w14:textId="77777777" w:rsidTr="004D4829">
        <w:trPr>
          <w:trHeight w:val="335"/>
        </w:trPr>
        <w:tc>
          <w:tcPr>
            <w:tcW w:w="16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ED4669"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Troup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B2F081"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12,271</w:t>
            </w:r>
          </w:p>
        </w:tc>
        <w:tc>
          <w:tcPr>
            <w:tcW w:w="89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22C14DD8"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804</w:t>
            </w:r>
          </w:p>
        </w:tc>
        <w:tc>
          <w:tcPr>
            <w:tcW w:w="92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D42E29"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1.44%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2FBBACE"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5.56%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E3A377F"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712</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A6FC1A1"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1.17%</w:t>
            </w: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C6403B1"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1123</w:t>
            </w:r>
          </w:p>
        </w:tc>
      </w:tr>
      <w:tr w:rsidR="00647D4F" w:rsidRPr="00647D4F" w14:paraId="2B2880AF" w14:textId="77777777" w:rsidTr="004D4829">
        <w:trPr>
          <w:trHeight w:val="245"/>
        </w:trPr>
        <w:tc>
          <w:tcPr>
            <w:tcW w:w="16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3F827A"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0000"/>
                <w:kern w:val="24"/>
                <w:sz w:val="24"/>
                <w:szCs w:val="24"/>
              </w:rPr>
              <w:t xml:space="preserve">Carrollton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07D3B1E"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5,119</w:t>
            </w:r>
          </w:p>
        </w:tc>
        <w:tc>
          <w:tcPr>
            <w:tcW w:w="89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F51BB9A"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0000"/>
                <w:kern w:val="24"/>
                <w:sz w:val="24"/>
                <w:szCs w:val="24"/>
              </w:rPr>
              <w:t>315</w:t>
            </w:r>
          </w:p>
        </w:tc>
        <w:tc>
          <w:tcPr>
            <w:tcW w:w="92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96C449"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0000"/>
                <w:kern w:val="24"/>
                <w:sz w:val="24"/>
                <w:szCs w:val="24"/>
              </w:rPr>
              <w:t>0.32%</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F4E6FB"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0.44%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4E0972"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24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CD2138"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0.11%</w:t>
            </w: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9805422"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color w:val="000000"/>
                <w:kern w:val="24"/>
                <w:sz w:val="24"/>
                <w:szCs w:val="24"/>
              </w:rPr>
              <w:t>48</w:t>
            </w:r>
          </w:p>
        </w:tc>
      </w:tr>
      <w:tr w:rsidR="00647D4F" w:rsidRPr="00647D4F" w14:paraId="051BF52A" w14:textId="77777777" w:rsidTr="004D4829">
        <w:trPr>
          <w:trHeight w:val="290"/>
        </w:trPr>
        <w:tc>
          <w:tcPr>
            <w:tcW w:w="163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4BDD755E" w14:textId="77777777" w:rsidR="00647D4F" w:rsidRPr="00647D4F" w:rsidRDefault="00647D4F" w:rsidP="00647D4F">
            <w:pPr>
              <w:spacing w:after="0" w:line="240" w:lineRule="auto"/>
              <w:textAlignment w:val="bottom"/>
              <w:rPr>
                <w:rFonts w:eastAsia="Times New Roman" w:cstheme="minorHAnsi"/>
                <w:sz w:val="24"/>
                <w:szCs w:val="24"/>
              </w:rPr>
            </w:pPr>
            <w:r w:rsidRPr="00647D4F">
              <w:rPr>
                <w:rFonts w:eastAsia="Times New Roman" w:cstheme="minorHAnsi"/>
                <w:b/>
                <w:bCs/>
                <w:color w:val="0070C0"/>
                <w:kern w:val="24"/>
                <w:sz w:val="24"/>
                <w:szCs w:val="24"/>
              </w:rPr>
              <w:t xml:space="preserve">P-20 West </w:t>
            </w:r>
          </w:p>
        </w:tc>
        <w:tc>
          <w:tcPr>
            <w:tcW w:w="99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09EC6F0B"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70C0"/>
                <w:kern w:val="24"/>
                <w:sz w:val="24"/>
                <w:szCs w:val="24"/>
              </w:rPr>
              <w:t>97,011</w:t>
            </w:r>
          </w:p>
        </w:tc>
        <w:tc>
          <w:tcPr>
            <w:tcW w:w="896"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E6CAEF2" w14:textId="77777777" w:rsidR="00647D4F" w:rsidRPr="00647D4F" w:rsidRDefault="00647D4F" w:rsidP="00647D4F">
            <w:pPr>
              <w:spacing w:after="0" w:line="240" w:lineRule="auto"/>
              <w:jc w:val="right"/>
              <w:textAlignment w:val="bottom"/>
              <w:rPr>
                <w:rFonts w:eastAsia="Times New Roman" w:cstheme="minorHAnsi"/>
                <w:sz w:val="24"/>
                <w:szCs w:val="24"/>
              </w:rPr>
            </w:pPr>
            <w:r w:rsidRPr="00647D4F">
              <w:rPr>
                <w:rFonts w:eastAsia="Times New Roman" w:cstheme="minorHAnsi"/>
                <w:b/>
                <w:bCs/>
                <w:color w:val="0070C0"/>
                <w:kern w:val="24"/>
                <w:sz w:val="24"/>
                <w:szCs w:val="24"/>
              </w:rPr>
              <w:t>6308</w:t>
            </w:r>
          </w:p>
        </w:tc>
        <w:tc>
          <w:tcPr>
            <w:tcW w:w="929"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3A804B5D"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70C0"/>
                <w:kern w:val="24"/>
                <w:sz w:val="24"/>
                <w:szCs w:val="24"/>
              </w:rPr>
              <w:t>2.15</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66D7F344"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70C0"/>
                <w:kern w:val="24"/>
                <w:sz w:val="24"/>
                <w:szCs w:val="24"/>
              </w:rPr>
              <w:t>10.02%</w:t>
            </w:r>
          </w:p>
        </w:tc>
        <w:tc>
          <w:tcPr>
            <w:tcW w:w="123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059C78A9"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70C0"/>
                <w:kern w:val="24"/>
                <w:sz w:val="24"/>
                <w:szCs w:val="24"/>
              </w:rPr>
              <w:t>11358</w:t>
            </w:r>
          </w:p>
        </w:tc>
        <w:tc>
          <w:tcPr>
            <w:tcW w:w="11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5ECD8FA9"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70C0"/>
                <w:kern w:val="24"/>
                <w:sz w:val="24"/>
                <w:szCs w:val="24"/>
              </w:rPr>
              <w:t>2.78</w:t>
            </w:r>
          </w:p>
        </w:tc>
        <w:tc>
          <w:tcPr>
            <w:tcW w:w="1271"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F0D1CF1" w14:textId="77777777" w:rsidR="00647D4F" w:rsidRPr="00647D4F" w:rsidRDefault="00647D4F" w:rsidP="00647D4F">
            <w:pPr>
              <w:spacing w:after="0" w:line="240" w:lineRule="auto"/>
              <w:jc w:val="center"/>
              <w:textAlignment w:val="bottom"/>
              <w:rPr>
                <w:rFonts w:eastAsia="Times New Roman" w:cstheme="minorHAnsi"/>
                <w:sz w:val="24"/>
                <w:szCs w:val="24"/>
              </w:rPr>
            </w:pPr>
            <w:r w:rsidRPr="00647D4F">
              <w:rPr>
                <w:rFonts w:eastAsia="Times New Roman" w:cstheme="minorHAnsi"/>
                <w:b/>
                <w:bCs/>
                <w:color w:val="0070C0"/>
                <w:kern w:val="24"/>
                <w:sz w:val="24"/>
                <w:szCs w:val="24"/>
              </w:rPr>
              <w:t>20497</w:t>
            </w:r>
          </w:p>
        </w:tc>
      </w:tr>
      <w:tr w:rsidR="004D4829" w:rsidRPr="00647D4F" w14:paraId="41632B0E" w14:textId="77777777" w:rsidTr="004D4829">
        <w:trPr>
          <w:trHeight w:val="322"/>
        </w:trPr>
        <w:tc>
          <w:tcPr>
            <w:tcW w:w="351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98F4CC" w14:textId="77777777" w:rsidR="00647D4F" w:rsidRPr="00647D4F" w:rsidRDefault="00647D4F" w:rsidP="00647D4F">
            <w:pPr>
              <w:spacing w:after="0" w:line="240" w:lineRule="auto"/>
              <w:textAlignment w:val="center"/>
              <w:rPr>
                <w:rFonts w:eastAsia="Times New Roman" w:cstheme="minorHAnsi"/>
                <w:sz w:val="24"/>
                <w:szCs w:val="24"/>
              </w:rPr>
            </w:pPr>
            <w:r w:rsidRPr="00647D4F">
              <w:rPr>
                <w:rFonts w:eastAsia="Times New Roman" w:cstheme="minorHAnsi"/>
                <w:b/>
                <w:bCs/>
                <w:color w:val="FF0000"/>
                <w:kern w:val="24"/>
                <w:sz w:val="24"/>
                <w:szCs w:val="24"/>
              </w:rPr>
              <w:t>Georgia</w:t>
            </w:r>
          </w:p>
        </w:tc>
        <w:tc>
          <w:tcPr>
            <w:tcW w:w="929"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2F3F3DA"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FF0000"/>
                <w:kern w:val="24"/>
                <w:sz w:val="24"/>
                <w:szCs w:val="24"/>
              </w:rPr>
              <w:t>1.70</w:t>
            </w:r>
          </w:p>
        </w:tc>
        <w:tc>
          <w:tcPr>
            <w:tcW w:w="1153"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3DEBF72"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FF0000"/>
                <w:kern w:val="24"/>
                <w:sz w:val="24"/>
                <w:szCs w:val="24"/>
              </w:rPr>
              <w:t>8.89</w:t>
            </w:r>
          </w:p>
        </w:tc>
        <w:tc>
          <w:tcPr>
            <w:tcW w:w="1237"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635CAC"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FF0000"/>
                <w:kern w:val="24"/>
                <w:sz w:val="24"/>
                <w:szCs w:val="24"/>
              </w:rPr>
              <w:t>112811</w:t>
            </w:r>
          </w:p>
        </w:tc>
        <w:tc>
          <w:tcPr>
            <w:tcW w:w="1153"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5E6E74F"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FF0000"/>
                <w:kern w:val="24"/>
                <w:sz w:val="24"/>
                <w:szCs w:val="24"/>
              </w:rPr>
              <w:t>1.87</w:t>
            </w:r>
          </w:p>
        </w:tc>
        <w:tc>
          <w:tcPr>
            <w:tcW w:w="1271"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449DB5" w14:textId="77777777" w:rsidR="00647D4F" w:rsidRPr="00647D4F" w:rsidRDefault="00647D4F" w:rsidP="00647D4F">
            <w:pPr>
              <w:spacing w:after="0" w:line="240" w:lineRule="auto"/>
              <w:jc w:val="center"/>
              <w:textAlignment w:val="center"/>
              <w:rPr>
                <w:rFonts w:eastAsia="Times New Roman" w:cstheme="minorHAnsi"/>
                <w:sz w:val="24"/>
                <w:szCs w:val="24"/>
              </w:rPr>
            </w:pPr>
            <w:r w:rsidRPr="00647D4F">
              <w:rPr>
                <w:rFonts w:eastAsia="Times New Roman" w:cstheme="minorHAnsi"/>
                <w:b/>
                <w:bCs/>
                <w:color w:val="FF0000"/>
                <w:kern w:val="24"/>
                <w:sz w:val="24"/>
                <w:szCs w:val="24"/>
              </w:rPr>
              <w:t>268578</w:t>
            </w:r>
          </w:p>
        </w:tc>
      </w:tr>
    </w:tbl>
    <w:p w14:paraId="14778D22" w14:textId="77777777" w:rsidR="00647D4F" w:rsidRPr="00724B98" w:rsidRDefault="00647D4F">
      <w:pPr>
        <w:rPr>
          <w:rFonts w:cstheme="minorHAnsi"/>
          <w:sz w:val="24"/>
          <w:szCs w:val="24"/>
        </w:rPr>
      </w:pPr>
    </w:p>
    <w:p w14:paraId="496E0B0C" w14:textId="77777777" w:rsidR="004D4829" w:rsidRDefault="004D4829">
      <w:pPr>
        <w:rPr>
          <w:rFonts w:cstheme="minorHAnsi"/>
          <w:sz w:val="24"/>
          <w:szCs w:val="24"/>
        </w:rPr>
      </w:pPr>
      <w:r>
        <w:rPr>
          <w:rFonts w:cstheme="minorHAnsi"/>
          <w:sz w:val="24"/>
          <w:szCs w:val="24"/>
        </w:rPr>
        <w:br w:type="page"/>
      </w:r>
    </w:p>
    <w:tbl>
      <w:tblPr>
        <w:tblW w:w="9704" w:type="dxa"/>
        <w:tblLayout w:type="fixed"/>
        <w:tblCellMar>
          <w:left w:w="0" w:type="dxa"/>
          <w:right w:w="0" w:type="dxa"/>
        </w:tblCellMar>
        <w:tblLook w:val="0600" w:firstRow="0" w:lastRow="0" w:firstColumn="0" w:lastColumn="0" w:noHBand="1" w:noVBand="1"/>
      </w:tblPr>
      <w:tblGrid>
        <w:gridCol w:w="1220"/>
        <w:gridCol w:w="840"/>
        <w:gridCol w:w="900"/>
        <w:gridCol w:w="972"/>
        <w:gridCol w:w="721"/>
        <w:gridCol w:w="722"/>
        <w:gridCol w:w="721"/>
        <w:gridCol w:w="722"/>
        <w:gridCol w:w="721"/>
        <w:gridCol w:w="722"/>
        <w:gridCol w:w="683"/>
        <w:gridCol w:w="38"/>
        <w:gridCol w:w="722"/>
      </w:tblGrid>
      <w:tr w:rsidR="004D4829" w:rsidRPr="004D4829" w14:paraId="3901CE81" w14:textId="77777777" w:rsidTr="004D4829">
        <w:trPr>
          <w:gridAfter w:val="2"/>
          <w:wAfter w:w="760" w:type="dxa"/>
          <w:trHeight w:val="436"/>
        </w:trPr>
        <w:tc>
          <w:tcPr>
            <w:tcW w:w="1220" w:type="dxa"/>
            <w:vMerge w:val="restart"/>
            <w:tcBorders>
              <w:top w:val="single" w:sz="8" w:space="0" w:color="000000"/>
              <w:left w:val="single" w:sz="8" w:space="0" w:color="000000"/>
              <w:bottom w:val="single" w:sz="8" w:space="0" w:color="000000"/>
              <w:right w:val="single" w:sz="4" w:space="0" w:color="000000"/>
            </w:tcBorders>
            <w:shd w:val="clear" w:color="auto" w:fill="D6DCE4"/>
            <w:tcMar>
              <w:top w:w="15" w:type="dxa"/>
              <w:left w:w="15" w:type="dxa"/>
              <w:bottom w:w="0" w:type="dxa"/>
              <w:right w:w="15" w:type="dxa"/>
            </w:tcMar>
            <w:vAlign w:val="center"/>
            <w:hideMark/>
          </w:tcPr>
          <w:p w14:paraId="1DAA9FF5"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lastRenderedPageBreak/>
              <w:t>SYSTEM NAME</w:t>
            </w:r>
          </w:p>
        </w:tc>
        <w:tc>
          <w:tcPr>
            <w:tcW w:w="840" w:type="dxa"/>
            <w:vMerge w:val="restart"/>
            <w:tcBorders>
              <w:top w:val="single" w:sz="8" w:space="0" w:color="000000"/>
              <w:left w:val="single" w:sz="4" w:space="0" w:color="000000"/>
              <w:bottom w:val="single" w:sz="8" w:space="0" w:color="000000"/>
              <w:right w:val="single" w:sz="4" w:space="0" w:color="000000"/>
            </w:tcBorders>
            <w:shd w:val="clear" w:color="auto" w:fill="D6DCE4"/>
            <w:tcMar>
              <w:top w:w="15" w:type="dxa"/>
              <w:left w:w="15" w:type="dxa"/>
              <w:bottom w:w="0" w:type="dxa"/>
              <w:right w:w="15" w:type="dxa"/>
            </w:tcMar>
            <w:vAlign w:val="center"/>
            <w:hideMark/>
          </w:tcPr>
          <w:p w14:paraId="35C73041"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t>FTE FY18 Total Student Count</w:t>
            </w:r>
          </w:p>
        </w:tc>
        <w:tc>
          <w:tcPr>
            <w:tcW w:w="900" w:type="dxa"/>
            <w:vMerge w:val="restart"/>
            <w:tcBorders>
              <w:top w:val="single" w:sz="8" w:space="0" w:color="000000"/>
              <w:left w:val="single" w:sz="4" w:space="0" w:color="000000"/>
              <w:bottom w:val="single" w:sz="8" w:space="0" w:color="000000"/>
              <w:right w:val="single" w:sz="8" w:space="0" w:color="000000"/>
            </w:tcBorders>
            <w:shd w:val="clear" w:color="auto" w:fill="D6DCE4"/>
            <w:tcMar>
              <w:top w:w="15" w:type="dxa"/>
              <w:left w:w="15" w:type="dxa"/>
              <w:bottom w:w="0" w:type="dxa"/>
              <w:right w:w="15" w:type="dxa"/>
            </w:tcMar>
            <w:vAlign w:val="center"/>
            <w:hideMark/>
          </w:tcPr>
          <w:p w14:paraId="3592F492"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t>FY18 Total Teachers Count</w:t>
            </w:r>
          </w:p>
        </w:tc>
        <w:tc>
          <w:tcPr>
            <w:tcW w:w="5984" w:type="dxa"/>
            <w:gridSpan w:val="8"/>
            <w:tcBorders>
              <w:top w:val="single" w:sz="8" w:space="0" w:color="000000"/>
              <w:left w:val="single" w:sz="8" w:space="0" w:color="000000"/>
              <w:bottom w:val="single" w:sz="8" w:space="0" w:color="000000"/>
              <w:right w:val="nil"/>
            </w:tcBorders>
            <w:shd w:val="clear" w:color="auto" w:fill="FCE4D6"/>
            <w:tcMar>
              <w:top w:w="15" w:type="dxa"/>
              <w:left w:w="15" w:type="dxa"/>
              <w:bottom w:w="0" w:type="dxa"/>
              <w:right w:w="15" w:type="dxa"/>
            </w:tcMar>
            <w:vAlign w:val="bottom"/>
            <w:hideMark/>
          </w:tcPr>
          <w:p w14:paraId="61BD5F67"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32"/>
                <w:szCs w:val="32"/>
              </w:rPr>
              <w:t>2018 Out of Field Areas</w:t>
            </w:r>
          </w:p>
        </w:tc>
      </w:tr>
      <w:tr w:rsidR="004D4829" w:rsidRPr="004D4829" w14:paraId="004EE9BE" w14:textId="77777777" w:rsidTr="004D4829">
        <w:trPr>
          <w:trHeight w:val="1575"/>
        </w:trPr>
        <w:tc>
          <w:tcPr>
            <w:tcW w:w="1220" w:type="dxa"/>
            <w:vMerge/>
            <w:tcBorders>
              <w:top w:val="single" w:sz="8" w:space="0" w:color="000000"/>
              <w:left w:val="single" w:sz="8" w:space="0" w:color="000000"/>
              <w:bottom w:val="single" w:sz="8" w:space="0" w:color="000000"/>
              <w:right w:val="single" w:sz="4" w:space="0" w:color="000000"/>
            </w:tcBorders>
            <w:vAlign w:val="center"/>
            <w:hideMark/>
          </w:tcPr>
          <w:p w14:paraId="155C0DC6" w14:textId="77777777" w:rsidR="004D4829" w:rsidRPr="004D4829" w:rsidRDefault="004D4829" w:rsidP="004D4829">
            <w:pPr>
              <w:spacing w:after="0" w:line="240" w:lineRule="auto"/>
              <w:rPr>
                <w:rFonts w:ascii="Arial" w:eastAsia="Times New Roman" w:hAnsi="Arial" w:cs="Arial"/>
                <w:sz w:val="36"/>
                <w:szCs w:val="36"/>
              </w:rPr>
            </w:pPr>
          </w:p>
        </w:tc>
        <w:tc>
          <w:tcPr>
            <w:tcW w:w="840" w:type="dxa"/>
            <w:vMerge/>
            <w:tcBorders>
              <w:top w:val="single" w:sz="8" w:space="0" w:color="000000"/>
              <w:left w:val="single" w:sz="4" w:space="0" w:color="000000"/>
              <w:bottom w:val="single" w:sz="8" w:space="0" w:color="000000"/>
              <w:right w:val="single" w:sz="4" w:space="0" w:color="000000"/>
            </w:tcBorders>
            <w:vAlign w:val="center"/>
            <w:hideMark/>
          </w:tcPr>
          <w:p w14:paraId="07890F6B" w14:textId="77777777" w:rsidR="004D4829" w:rsidRPr="004D4829" w:rsidRDefault="004D4829" w:rsidP="004D4829">
            <w:pPr>
              <w:spacing w:after="0" w:line="240" w:lineRule="auto"/>
              <w:rPr>
                <w:rFonts w:ascii="Arial" w:eastAsia="Times New Roman" w:hAnsi="Arial" w:cs="Arial"/>
                <w:sz w:val="36"/>
                <w:szCs w:val="36"/>
              </w:rPr>
            </w:pPr>
          </w:p>
        </w:tc>
        <w:tc>
          <w:tcPr>
            <w:tcW w:w="900" w:type="dxa"/>
            <w:vMerge/>
            <w:tcBorders>
              <w:top w:val="single" w:sz="8" w:space="0" w:color="000000"/>
              <w:left w:val="single" w:sz="4" w:space="0" w:color="000000"/>
              <w:bottom w:val="single" w:sz="8" w:space="0" w:color="000000"/>
              <w:right w:val="single" w:sz="8" w:space="0" w:color="000000"/>
            </w:tcBorders>
            <w:vAlign w:val="center"/>
            <w:hideMark/>
          </w:tcPr>
          <w:p w14:paraId="30212EF9" w14:textId="77777777" w:rsidR="004D4829" w:rsidRPr="004D4829" w:rsidRDefault="004D4829" w:rsidP="004D4829">
            <w:pPr>
              <w:spacing w:after="0" w:line="240" w:lineRule="auto"/>
              <w:rPr>
                <w:rFonts w:ascii="Arial" w:eastAsia="Times New Roman" w:hAnsi="Arial" w:cs="Arial"/>
                <w:sz w:val="36"/>
                <w:szCs w:val="36"/>
              </w:rPr>
            </w:pPr>
          </w:p>
        </w:tc>
        <w:tc>
          <w:tcPr>
            <w:tcW w:w="97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14:paraId="0413DBA8"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t>FY18</w:t>
            </w:r>
            <w:r w:rsidRPr="004D4829">
              <w:rPr>
                <w:rFonts w:ascii="Calibri" w:eastAsia="Times New Roman" w:hAnsi="Calibri" w:cs="Calibri"/>
                <w:b/>
                <w:bCs/>
                <w:color w:val="000000"/>
                <w:kern w:val="24"/>
                <w:sz w:val="24"/>
                <w:szCs w:val="24"/>
              </w:rPr>
              <w:br/>
            </w:r>
            <w:proofErr w:type="gramStart"/>
            <w:r w:rsidRPr="004D4829">
              <w:rPr>
                <w:rFonts w:ascii="Calibri" w:eastAsia="Times New Roman" w:hAnsi="Calibri" w:cs="Calibri"/>
                <w:b/>
                <w:bCs/>
                <w:color w:val="000000"/>
                <w:kern w:val="24"/>
                <w:sz w:val="24"/>
                <w:szCs w:val="24"/>
              </w:rPr>
              <w:t>%  All</w:t>
            </w:r>
            <w:proofErr w:type="gramEnd"/>
            <w:r w:rsidRPr="004D4829">
              <w:rPr>
                <w:rFonts w:ascii="Calibri" w:eastAsia="Times New Roman" w:hAnsi="Calibri" w:cs="Calibri"/>
                <w:b/>
                <w:bCs/>
                <w:color w:val="000000"/>
                <w:kern w:val="24"/>
                <w:sz w:val="24"/>
                <w:szCs w:val="24"/>
              </w:rPr>
              <w:t xml:space="preserve"> Courses</w:t>
            </w:r>
          </w:p>
        </w:tc>
        <w:tc>
          <w:tcPr>
            <w:tcW w:w="721" w:type="dxa"/>
            <w:tcBorders>
              <w:top w:val="single" w:sz="8" w:space="0" w:color="000000"/>
              <w:left w:val="single" w:sz="8"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08DE5D4E"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r>
            <w:proofErr w:type="gramStart"/>
            <w:r w:rsidRPr="004D4829">
              <w:rPr>
                <w:rFonts w:ascii="Calibri" w:eastAsia="Times New Roman" w:hAnsi="Calibri" w:cs="Calibri"/>
                <w:b/>
                <w:bCs/>
                <w:color w:val="000000"/>
                <w:kern w:val="24"/>
                <w:sz w:val="24"/>
                <w:szCs w:val="24"/>
              </w:rPr>
              <w:t>%  Special</w:t>
            </w:r>
            <w:proofErr w:type="gramEnd"/>
            <w:r w:rsidRPr="004D4829">
              <w:rPr>
                <w:rFonts w:ascii="Calibri" w:eastAsia="Times New Roman" w:hAnsi="Calibri" w:cs="Calibri"/>
                <w:b/>
                <w:bCs/>
                <w:color w:val="000000"/>
                <w:kern w:val="24"/>
                <w:sz w:val="24"/>
                <w:szCs w:val="24"/>
              </w:rPr>
              <w:t xml:space="preserve"> Educ </w:t>
            </w:r>
          </w:p>
        </w:tc>
        <w:tc>
          <w:tcPr>
            <w:tcW w:w="722"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55AE1F53"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r>
            <w:proofErr w:type="gramStart"/>
            <w:r w:rsidRPr="004D4829">
              <w:rPr>
                <w:rFonts w:ascii="Calibri" w:eastAsia="Times New Roman" w:hAnsi="Calibri" w:cs="Calibri"/>
                <w:b/>
                <w:bCs/>
                <w:color w:val="000000"/>
                <w:kern w:val="24"/>
                <w:sz w:val="24"/>
                <w:szCs w:val="24"/>
              </w:rPr>
              <w:t>%  ESOL</w:t>
            </w:r>
            <w:proofErr w:type="gramEnd"/>
          </w:p>
        </w:tc>
        <w:tc>
          <w:tcPr>
            <w:tcW w:w="721"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13F49084"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r>
            <w:proofErr w:type="gramStart"/>
            <w:r w:rsidRPr="004D4829">
              <w:rPr>
                <w:rFonts w:ascii="Calibri" w:eastAsia="Times New Roman" w:hAnsi="Calibri" w:cs="Calibri"/>
                <w:b/>
                <w:bCs/>
                <w:color w:val="000000"/>
                <w:kern w:val="24"/>
                <w:sz w:val="24"/>
                <w:szCs w:val="24"/>
              </w:rPr>
              <w:t>%  ELA</w:t>
            </w:r>
            <w:proofErr w:type="gramEnd"/>
          </w:p>
        </w:tc>
        <w:tc>
          <w:tcPr>
            <w:tcW w:w="722"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2858D7DE"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r>
            <w:proofErr w:type="gramStart"/>
            <w:r w:rsidRPr="004D4829">
              <w:rPr>
                <w:rFonts w:ascii="Calibri" w:eastAsia="Times New Roman" w:hAnsi="Calibri" w:cs="Calibri"/>
                <w:b/>
                <w:bCs/>
                <w:color w:val="000000"/>
                <w:kern w:val="24"/>
                <w:sz w:val="24"/>
                <w:szCs w:val="24"/>
              </w:rPr>
              <w:t>%  World</w:t>
            </w:r>
            <w:proofErr w:type="gramEnd"/>
            <w:r w:rsidRPr="004D4829">
              <w:rPr>
                <w:rFonts w:ascii="Calibri" w:eastAsia="Times New Roman" w:hAnsi="Calibri" w:cs="Calibri"/>
                <w:b/>
                <w:bCs/>
                <w:color w:val="000000"/>
                <w:kern w:val="24"/>
                <w:sz w:val="24"/>
                <w:szCs w:val="24"/>
              </w:rPr>
              <w:t xml:space="preserve"> Lang</w:t>
            </w:r>
          </w:p>
        </w:tc>
        <w:tc>
          <w:tcPr>
            <w:tcW w:w="721"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735E3729"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t>% Fine Arts</w:t>
            </w:r>
          </w:p>
        </w:tc>
        <w:tc>
          <w:tcPr>
            <w:tcW w:w="722"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00772618"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t>% Math</w:t>
            </w:r>
          </w:p>
        </w:tc>
        <w:tc>
          <w:tcPr>
            <w:tcW w:w="721" w:type="dxa"/>
            <w:gridSpan w:val="2"/>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75FD267B"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t>% Science</w:t>
            </w:r>
          </w:p>
        </w:tc>
        <w:tc>
          <w:tcPr>
            <w:tcW w:w="722" w:type="dxa"/>
            <w:tcBorders>
              <w:top w:val="single" w:sz="8" w:space="0" w:color="000000"/>
              <w:left w:val="single" w:sz="4" w:space="0" w:color="000000"/>
              <w:bottom w:val="single" w:sz="8" w:space="0" w:color="000000"/>
              <w:right w:val="single" w:sz="4" w:space="0" w:color="000000"/>
            </w:tcBorders>
            <w:shd w:val="clear" w:color="auto" w:fill="FFF2CC"/>
            <w:tcMar>
              <w:top w:w="15" w:type="dxa"/>
              <w:left w:w="15" w:type="dxa"/>
              <w:bottom w:w="0" w:type="dxa"/>
              <w:right w:w="15" w:type="dxa"/>
            </w:tcMar>
            <w:vAlign w:val="center"/>
            <w:hideMark/>
          </w:tcPr>
          <w:p w14:paraId="0BBA2CA2"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000000"/>
                <w:kern w:val="24"/>
                <w:sz w:val="24"/>
                <w:szCs w:val="24"/>
              </w:rPr>
              <w:br/>
            </w:r>
            <w:proofErr w:type="gramStart"/>
            <w:r w:rsidRPr="004D4829">
              <w:rPr>
                <w:rFonts w:ascii="Calibri" w:eastAsia="Times New Roman" w:hAnsi="Calibri" w:cs="Calibri"/>
                <w:b/>
                <w:bCs/>
                <w:color w:val="000000"/>
                <w:kern w:val="24"/>
                <w:sz w:val="24"/>
                <w:szCs w:val="24"/>
              </w:rPr>
              <w:t>%  Social</w:t>
            </w:r>
            <w:proofErr w:type="gramEnd"/>
            <w:r w:rsidRPr="004D4829">
              <w:rPr>
                <w:rFonts w:ascii="Calibri" w:eastAsia="Times New Roman" w:hAnsi="Calibri" w:cs="Calibri"/>
                <w:b/>
                <w:bCs/>
                <w:color w:val="000000"/>
                <w:kern w:val="24"/>
                <w:sz w:val="24"/>
                <w:szCs w:val="24"/>
              </w:rPr>
              <w:t xml:space="preserve"> Studies</w:t>
            </w:r>
          </w:p>
        </w:tc>
      </w:tr>
      <w:tr w:rsidR="004D4829" w:rsidRPr="004D4829" w14:paraId="46801929" w14:textId="77777777" w:rsidTr="004D4829">
        <w:trPr>
          <w:trHeight w:val="227"/>
        </w:trPr>
        <w:tc>
          <w:tcPr>
            <w:tcW w:w="12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E69DBE9"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Carroll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E267B3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14,877</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55117A3"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961</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2304A667"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25.6%</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707D4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41.0%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821D86"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69.9%</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CB381A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30.1%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810988"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37.8%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576C8A"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8.9%</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EBC49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E0F81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29.9%</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9A8F80"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29.1%</w:t>
            </w:r>
          </w:p>
        </w:tc>
      </w:tr>
      <w:tr w:rsidR="004D4829" w:rsidRPr="004D4829" w14:paraId="61E536F2" w14:textId="77777777" w:rsidTr="004D4829">
        <w:trPr>
          <w:trHeight w:val="362"/>
        </w:trPr>
        <w:tc>
          <w:tcPr>
            <w:tcW w:w="12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5216CE"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Coweta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741BFAA"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22,810</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062CD01"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1478</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395F5696"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14.1%</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9898D50"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38.9%</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FF013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5.0%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DE7BEF"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9.9%</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4581AE"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31.5%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8C9B7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10.0%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3436D6"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11.1%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288216"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12.7%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1377BD"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12.2%</w:t>
            </w:r>
          </w:p>
        </w:tc>
      </w:tr>
      <w:tr w:rsidR="004D4829" w:rsidRPr="004D4829" w14:paraId="6B3F4B37" w14:textId="77777777" w:rsidTr="004D4829">
        <w:trPr>
          <w:trHeight w:val="245"/>
        </w:trPr>
        <w:tc>
          <w:tcPr>
            <w:tcW w:w="12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79BEFA"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Harris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6A0473A"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5,294</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DD93DB4"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331</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2212717"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12.9%</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E56B36"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30.3%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4E9F8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B4ADEA0"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13.7%</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4B7F2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33.3%</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59217C"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15.2%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66354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16.6%</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16336B"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18.9%</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BF4ECF"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8.6%</w:t>
            </w:r>
          </w:p>
        </w:tc>
      </w:tr>
      <w:tr w:rsidR="004D4829" w:rsidRPr="004D4829" w14:paraId="78BA3847" w14:textId="77777777" w:rsidTr="004D4829">
        <w:trPr>
          <w:trHeight w:val="290"/>
        </w:trPr>
        <w:tc>
          <w:tcPr>
            <w:tcW w:w="12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356C05"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Heard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7E038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2,116</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F5990A1"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140</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3A0E5AD0"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20.1%</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BEADBC"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36.8%</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1BECC6"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80.0%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B573BDA"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17.2%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9FDE74"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25F430"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6.3%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15AC6E"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19.1%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84CD6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31.0%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2C7DEC6"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21.2%</w:t>
            </w:r>
          </w:p>
        </w:tc>
      </w:tr>
      <w:tr w:rsidR="004D4829" w:rsidRPr="004D4829" w14:paraId="49143CFC" w14:textId="77777777" w:rsidTr="004D4829">
        <w:trPr>
          <w:trHeight w:val="245"/>
        </w:trPr>
        <w:tc>
          <w:tcPr>
            <w:tcW w:w="12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0E00CB"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Meriwether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412F1C"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2,761</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6B903F5"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184</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32D9D674"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16.6%</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04E1B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49.0%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538DC1"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7.1%</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721D60"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13.4%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DDB3CE"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47CE10"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9.1%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B908C4"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27.9%</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E920F96"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26.0%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6CB2CD"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18.7%</w:t>
            </w:r>
          </w:p>
        </w:tc>
      </w:tr>
      <w:tr w:rsidR="004D4829" w:rsidRPr="004D4829" w14:paraId="0CF5304F" w14:textId="77777777" w:rsidTr="004D4829">
        <w:trPr>
          <w:trHeight w:val="280"/>
        </w:trPr>
        <w:tc>
          <w:tcPr>
            <w:tcW w:w="122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747992"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Muscogee  </w:t>
            </w:r>
          </w:p>
        </w:tc>
        <w:tc>
          <w:tcPr>
            <w:tcW w:w="84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68B0B5"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31,763</w:t>
            </w:r>
          </w:p>
        </w:tc>
        <w:tc>
          <w:tcPr>
            <w:tcW w:w="9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264FBAFD"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2095</w:t>
            </w:r>
          </w:p>
        </w:tc>
        <w:tc>
          <w:tcPr>
            <w:tcW w:w="972"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14:paraId="5BC54E54"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14.3%</w:t>
            </w:r>
          </w:p>
        </w:tc>
        <w:tc>
          <w:tcPr>
            <w:tcW w:w="721"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B5AE53A"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45.5%</w:t>
            </w:r>
          </w:p>
        </w:tc>
        <w:tc>
          <w:tcPr>
            <w:tcW w:w="7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918AD7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14.3%</w:t>
            </w:r>
          </w:p>
        </w:tc>
        <w:tc>
          <w:tcPr>
            <w:tcW w:w="72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2C2E44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15.8%</w:t>
            </w:r>
          </w:p>
        </w:tc>
        <w:tc>
          <w:tcPr>
            <w:tcW w:w="7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9BC46EA"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14.0%</w:t>
            </w:r>
          </w:p>
        </w:tc>
        <w:tc>
          <w:tcPr>
            <w:tcW w:w="72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6F97804"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12.1%</w:t>
            </w:r>
          </w:p>
        </w:tc>
        <w:tc>
          <w:tcPr>
            <w:tcW w:w="7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B7E18C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18.4%</w:t>
            </w:r>
          </w:p>
        </w:tc>
        <w:tc>
          <w:tcPr>
            <w:tcW w:w="721"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F8976A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16.3%</w:t>
            </w:r>
          </w:p>
        </w:tc>
        <w:tc>
          <w:tcPr>
            <w:tcW w:w="7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7993E3B"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14.0%</w:t>
            </w:r>
          </w:p>
        </w:tc>
      </w:tr>
      <w:tr w:rsidR="004D4829" w:rsidRPr="004D4829" w14:paraId="2AC5A92C" w14:textId="77777777" w:rsidTr="004D4829">
        <w:trPr>
          <w:trHeight w:val="137"/>
        </w:trPr>
        <w:tc>
          <w:tcPr>
            <w:tcW w:w="12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54AF621"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Troup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7D1290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12,271</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E1EDD1C"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804</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1155B88"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20.0%</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653A8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39.3%</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827FB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21.9%</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6A7E4D"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25.0%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7C1C53"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22.2%</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57798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17.5%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CDD7CDD"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19.3%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0C283D"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21.1%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5709309"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21.2%</w:t>
            </w:r>
          </w:p>
        </w:tc>
      </w:tr>
      <w:tr w:rsidR="004D4829" w:rsidRPr="004D4829" w14:paraId="7CEC7704" w14:textId="77777777" w:rsidTr="004D4829">
        <w:trPr>
          <w:trHeight w:val="182"/>
        </w:trPr>
        <w:tc>
          <w:tcPr>
            <w:tcW w:w="12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F7BBD9"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 xml:space="preserve">Carrollton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EE5CE1"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5,119</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86E170D"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315</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32773C78"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17.6%</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578D0E"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37.4%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0CB142C"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D1BDC4"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13.8%</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69E3B1"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41.7%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50CED2"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41.4%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A1B401B"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14.5%</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772259"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15.8%</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6DA8AC"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0000"/>
                <w:kern w:val="24"/>
                <w:sz w:val="24"/>
                <w:szCs w:val="24"/>
              </w:rPr>
              <w:t>17.1%</w:t>
            </w:r>
          </w:p>
        </w:tc>
      </w:tr>
      <w:tr w:rsidR="004D4829" w:rsidRPr="004D4829" w14:paraId="31CA9F30" w14:textId="77777777" w:rsidTr="004D4829">
        <w:trPr>
          <w:trHeight w:val="298"/>
        </w:trPr>
        <w:tc>
          <w:tcPr>
            <w:tcW w:w="1220"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169EDEEC" w14:textId="77777777" w:rsidR="004D4829" w:rsidRPr="004D4829" w:rsidRDefault="004D4829" w:rsidP="004D4829">
            <w:pPr>
              <w:spacing w:after="0" w:line="240" w:lineRule="auto"/>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 xml:space="preserve">P-20 West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DAD0FC"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97,011</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09037CD"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6308</w:t>
            </w:r>
          </w:p>
        </w:tc>
        <w:tc>
          <w:tcPr>
            <w:tcW w:w="972"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7B98EA9" w14:textId="77777777" w:rsidR="004D4829" w:rsidRPr="004D4829" w:rsidRDefault="004D4829" w:rsidP="004D4829">
            <w:pPr>
              <w:spacing w:after="0" w:line="240" w:lineRule="auto"/>
              <w:jc w:val="center"/>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17.6%</w:t>
            </w:r>
          </w:p>
        </w:tc>
        <w:tc>
          <w:tcPr>
            <w:tcW w:w="72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A2C568"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39.8%</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37C02B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24.8%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8121D0"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17.4%</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FB01A8"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22.6%</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7B3C61"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15.1%</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C857D7"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19.6%</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DE9DA9"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21.5%</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532BF8" w14:textId="77777777" w:rsidR="004D4829" w:rsidRPr="004D4829" w:rsidRDefault="004D4829" w:rsidP="004D4829">
            <w:pPr>
              <w:spacing w:after="0" w:line="240" w:lineRule="auto"/>
              <w:jc w:val="right"/>
              <w:textAlignment w:val="bottom"/>
              <w:rPr>
                <w:rFonts w:ascii="Arial" w:eastAsia="Times New Roman" w:hAnsi="Arial" w:cs="Arial"/>
                <w:sz w:val="36"/>
                <w:szCs w:val="36"/>
              </w:rPr>
            </w:pPr>
            <w:r w:rsidRPr="004D4829">
              <w:rPr>
                <w:rFonts w:ascii="Calibri" w:eastAsia="Times New Roman" w:hAnsi="Calibri" w:cs="Calibri"/>
                <w:b/>
                <w:bCs/>
                <w:color w:val="0070C0"/>
                <w:kern w:val="24"/>
                <w:sz w:val="24"/>
                <w:szCs w:val="24"/>
              </w:rPr>
              <w:t>17.8%</w:t>
            </w:r>
          </w:p>
        </w:tc>
      </w:tr>
      <w:tr w:rsidR="004D4829" w:rsidRPr="004D4829" w14:paraId="6EDB95EC" w14:textId="77777777" w:rsidTr="004D4829">
        <w:trPr>
          <w:trHeight w:val="489"/>
        </w:trPr>
        <w:tc>
          <w:tcPr>
            <w:tcW w:w="122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4549C2F6" w14:textId="77777777" w:rsidR="004D4829" w:rsidRPr="004D4829" w:rsidRDefault="004D4829" w:rsidP="004D4829">
            <w:pPr>
              <w:spacing w:after="0" w:line="240" w:lineRule="auto"/>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Georgia</w:t>
            </w:r>
          </w:p>
        </w:tc>
        <w:tc>
          <w:tcPr>
            <w:tcW w:w="840" w:type="dxa"/>
            <w:tcBorders>
              <w:top w:val="single" w:sz="4" w:space="0" w:color="000000"/>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9C93EFE"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1,768,633</w:t>
            </w:r>
          </w:p>
        </w:tc>
        <w:tc>
          <w:tcPr>
            <w:tcW w:w="9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827820"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119332</w:t>
            </w:r>
          </w:p>
        </w:tc>
        <w:tc>
          <w:tcPr>
            <w:tcW w:w="972"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476C5F"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19.9%</w:t>
            </w:r>
          </w:p>
        </w:tc>
        <w:tc>
          <w:tcPr>
            <w:tcW w:w="721"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F153F06"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36.5%</w:t>
            </w:r>
          </w:p>
        </w:tc>
        <w:tc>
          <w:tcPr>
            <w:tcW w:w="7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D1F79BC"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17.9%</w:t>
            </w:r>
          </w:p>
        </w:tc>
        <w:tc>
          <w:tcPr>
            <w:tcW w:w="72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B8DEFBE"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15.8%</w:t>
            </w:r>
          </w:p>
        </w:tc>
        <w:tc>
          <w:tcPr>
            <w:tcW w:w="7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F33530C"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20.8%</w:t>
            </w:r>
          </w:p>
        </w:tc>
        <w:tc>
          <w:tcPr>
            <w:tcW w:w="72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F05B320"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10.7%</w:t>
            </w:r>
          </w:p>
        </w:tc>
        <w:tc>
          <w:tcPr>
            <w:tcW w:w="7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8B59C34"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18.1%</w:t>
            </w:r>
          </w:p>
        </w:tc>
        <w:tc>
          <w:tcPr>
            <w:tcW w:w="721" w:type="dxa"/>
            <w:gridSpan w:val="2"/>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A365EF7"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18.5%</w:t>
            </w:r>
          </w:p>
        </w:tc>
        <w:tc>
          <w:tcPr>
            <w:tcW w:w="7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2E60F09" w14:textId="77777777" w:rsidR="004D4829" w:rsidRPr="004D4829" w:rsidRDefault="004D4829" w:rsidP="004D4829">
            <w:pPr>
              <w:spacing w:after="0" w:line="240" w:lineRule="auto"/>
              <w:jc w:val="center"/>
              <w:textAlignment w:val="center"/>
              <w:rPr>
                <w:rFonts w:ascii="Arial" w:eastAsia="Times New Roman" w:hAnsi="Arial" w:cs="Arial"/>
                <w:sz w:val="36"/>
                <w:szCs w:val="36"/>
              </w:rPr>
            </w:pPr>
            <w:r w:rsidRPr="004D4829">
              <w:rPr>
                <w:rFonts w:ascii="Calibri" w:eastAsia="Times New Roman" w:hAnsi="Calibri" w:cs="Calibri"/>
                <w:b/>
                <w:bCs/>
                <w:color w:val="FF0000"/>
                <w:kern w:val="24"/>
                <w:sz w:val="24"/>
                <w:szCs w:val="24"/>
              </w:rPr>
              <w:t>17.4%</w:t>
            </w:r>
          </w:p>
        </w:tc>
      </w:tr>
    </w:tbl>
    <w:p w14:paraId="79136DC6" w14:textId="77777777" w:rsidR="00724B98" w:rsidRDefault="00724B98">
      <w:pPr>
        <w:rPr>
          <w:rFonts w:cstheme="minorHAnsi"/>
          <w:sz w:val="24"/>
          <w:szCs w:val="24"/>
        </w:rPr>
      </w:pPr>
    </w:p>
    <w:p w14:paraId="79674C9F" w14:textId="77777777" w:rsidR="004D4829" w:rsidRPr="004D4829" w:rsidRDefault="004D4829" w:rsidP="004D4829">
      <w:pPr>
        <w:jc w:val="center"/>
        <w:rPr>
          <w:rFonts w:ascii="Arial" w:hAnsi="Arial" w:cs="Arial"/>
          <w:b/>
          <w:bCs/>
        </w:rPr>
      </w:pPr>
      <w:r w:rsidRPr="004D4829">
        <w:rPr>
          <w:rFonts w:ascii="Arial" w:hAnsi="Arial" w:cs="Arial"/>
          <w:b/>
          <w:bCs/>
        </w:rPr>
        <w:t>WG P20 Equity Lab Next Steps Notes (9.20.19)</w:t>
      </w:r>
    </w:p>
    <w:p w14:paraId="0AF36E2B" w14:textId="77777777" w:rsidR="004D4829" w:rsidRPr="004D4829" w:rsidRDefault="004D4829" w:rsidP="004D4829">
      <w:pPr>
        <w:rPr>
          <w:rFonts w:ascii="Arial" w:hAnsi="Arial" w:cs="Arial"/>
        </w:rPr>
      </w:pPr>
    </w:p>
    <w:p w14:paraId="37D62B95" w14:textId="77777777" w:rsidR="004D4829" w:rsidRPr="004D4829" w:rsidRDefault="004D4829" w:rsidP="004D4829">
      <w:pPr>
        <w:rPr>
          <w:rFonts w:ascii="Arial" w:hAnsi="Arial" w:cs="Arial"/>
          <w:b/>
          <w:bCs/>
          <w:i/>
          <w:iCs/>
        </w:rPr>
      </w:pPr>
      <w:r w:rsidRPr="004D4829">
        <w:rPr>
          <w:rFonts w:ascii="Arial" w:hAnsi="Arial" w:cs="Arial"/>
          <w:b/>
          <w:bCs/>
          <w:i/>
          <w:iCs/>
        </w:rPr>
        <w:t>WG P-20 strategic planning team:</w:t>
      </w:r>
    </w:p>
    <w:p w14:paraId="2E52C34E" w14:textId="77777777" w:rsidR="004D4829" w:rsidRPr="004D4829" w:rsidRDefault="004D4829" w:rsidP="004D4829">
      <w:pPr>
        <w:numPr>
          <w:ilvl w:val="0"/>
          <w:numId w:val="1"/>
        </w:numPr>
        <w:contextualSpacing/>
        <w:rPr>
          <w:rFonts w:ascii="Arial" w:hAnsi="Arial" w:cs="Arial"/>
        </w:rPr>
      </w:pPr>
      <w:r w:rsidRPr="004D4829">
        <w:rPr>
          <w:rFonts w:ascii="Arial" w:hAnsi="Arial" w:cs="Arial"/>
        </w:rPr>
        <w:t>WG P-20 Collaborative strategic planning team will distribute a follow-up email with notes from the Equity Lab and resources on 9/23/19.</w:t>
      </w:r>
    </w:p>
    <w:p w14:paraId="381B4873" w14:textId="77777777" w:rsidR="004D4829" w:rsidRPr="004D4829" w:rsidRDefault="004D4829" w:rsidP="004D4829">
      <w:pPr>
        <w:numPr>
          <w:ilvl w:val="0"/>
          <w:numId w:val="1"/>
        </w:numPr>
        <w:contextualSpacing/>
        <w:rPr>
          <w:rFonts w:ascii="Arial" w:hAnsi="Arial" w:cs="Arial"/>
        </w:rPr>
      </w:pPr>
      <w:r w:rsidRPr="004D4829">
        <w:rPr>
          <w:rFonts w:ascii="Arial" w:hAnsi="Arial" w:cs="Arial"/>
        </w:rPr>
        <w:t xml:space="preserve">Debrief and review survey results and all next steps listed below in October to guide WG P20’s spring convening agenda. What did we discover during WG P20’s Equity Lab and how do we need to respond to support the WG P-20 Collaborative?    </w:t>
      </w:r>
    </w:p>
    <w:p w14:paraId="09B737B3" w14:textId="77777777" w:rsidR="004D4829" w:rsidRPr="004D4829" w:rsidRDefault="004D4829" w:rsidP="004D4829">
      <w:pPr>
        <w:rPr>
          <w:rFonts w:ascii="Arial" w:hAnsi="Arial" w:cs="Arial"/>
          <w:b/>
          <w:bCs/>
          <w:i/>
          <w:iCs/>
        </w:rPr>
      </w:pPr>
    </w:p>
    <w:p w14:paraId="54E09249" w14:textId="77777777" w:rsidR="004D4829" w:rsidRPr="004D4829" w:rsidRDefault="004D4829" w:rsidP="004D4829">
      <w:pPr>
        <w:numPr>
          <w:ilvl w:val="0"/>
          <w:numId w:val="2"/>
        </w:numPr>
        <w:contextualSpacing/>
        <w:rPr>
          <w:rFonts w:ascii="Arial" w:hAnsi="Arial" w:cs="Arial"/>
        </w:rPr>
      </w:pPr>
      <w:proofErr w:type="spellStart"/>
      <w:r w:rsidRPr="004D4829">
        <w:rPr>
          <w:rFonts w:ascii="Arial" w:hAnsi="Arial" w:cs="Arial"/>
          <w:b/>
          <w:bCs/>
        </w:rPr>
        <w:t>GaDOE</w:t>
      </w:r>
      <w:proofErr w:type="spellEnd"/>
    </w:p>
    <w:p w14:paraId="4658E691"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Solicit feedback on state equity template</w:t>
      </w:r>
    </w:p>
    <w:p w14:paraId="5B921FAB"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Ensure the format and layout of the Equity Plan are still valid. Is the data still useful?</w:t>
      </w:r>
    </w:p>
    <w:p w14:paraId="0FD5B88B"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 xml:space="preserve">How well is the state aligning supports to the LEAs’ plans? </w:t>
      </w:r>
    </w:p>
    <w:p w14:paraId="151562AC"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 xml:space="preserve">How well is the </w:t>
      </w:r>
      <w:proofErr w:type="spellStart"/>
      <w:r w:rsidRPr="004D4829">
        <w:rPr>
          <w:rFonts w:ascii="Arial" w:hAnsi="Arial" w:cs="Arial"/>
        </w:rPr>
        <w:t>GaDOE</w:t>
      </w:r>
      <w:proofErr w:type="spellEnd"/>
      <w:r w:rsidRPr="004D4829">
        <w:rPr>
          <w:rFonts w:ascii="Arial" w:hAnsi="Arial" w:cs="Arial"/>
        </w:rPr>
        <w:t xml:space="preserve"> communicating and working with parents?</w:t>
      </w:r>
    </w:p>
    <w:p w14:paraId="70772078" w14:textId="77777777" w:rsidR="004D4829" w:rsidRPr="004D4829" w:rsidRDefault="004D4829" w:rsidP="004D4829">
      <w:pPr>
        <w:numPr>
          <w:ilvl w:val="0"/>
          <w:numId w:val="2"/>
        </w:numPr>
        <w:contextualSpacing/>
        <w:rPr>
          <w:rFonts w:ascii="Arial" w:hAnsi="Arial" w:cs="Arial"/>
        </w:rPr>
      </w:pPr>
      <w:proofErr w:type="spellStart"/>
      <w:r w:rsidRPr="004D4829">
        <w:rPr>
          <w:rFonts w:ascii="Arial" w:hAnsi="Arial" w:cs="Arial"/>
          <w:b/>
          <w:bCs/>
        </w:rPr>
        <w:t>GaPSC</w:t>
      </w:r>
      <w:proofErr w:type="spellEnd"/>
    </w:p>
    <w:p w14:paraId="2525A072"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Continue with task in order to address issues in EPP to ensure better prepared teachers.</w:t>
      </w:r>
    </w:p>
    <w:p w14:paraId="2F88EAD7"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Continue and increase across agency communications and collaboration.</w:t>
      </w:r>
    </w:p>
    <w:p w14:paraId="32A60123" w14:textId="77777777" w:rsidR="004D4829" w:rsidRPr="004D4829" w:rsidRDefault="004D4829" w:rsidP="004D4829">
      <w:pPr>
        <w:numPr>
          <w:ilvl w:val="0"/>
          <w:numId w:val="2"/>
        </w:numPr>
        <w:contextualSpacing/>
        <w:rPr>
          <w:rFonts w:ascii="Arial" w:hAnsi="Arial" w:cs="Arial"/>
          <w:b/>
          <w:bCs/>
        </w:rPr>
      </w:pPr>
      <w:r w:rsidRPr="004D4829">
        <w:rPr>
          <w:rFonts w:ascii="Arial" w:hAnsi="Arial" w:cs="Arial"/>
          <w:b/>
          <w:bCs/>
        </w:rPr>
        <w:t>RESA</w:t>
      </w:r>
    </w:p>
    <w:p w14:paraId="25867D0C"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Use process in strategic planning and collaborative communication.</w:t>
      </w:r>
    </w:p>
    <w:p w14:paraId="33780D54" w14:textId="77777777" w:rsidR="004D4829" w:rsidRPr="004D4829" w:rsidRDefault="004D4829" w:rsidP="004D4829">
      <w:pPr>
        <w:numPr>
          <w:ilvl w:val="1"/>
          <w:numId w:val="2"/>
        </w:numPr>
        <w:contextualSpacing/>
        <w:rPr>
          <w:rFonts w:ascii="Arial" w:hAnsi="Arial" w:cs="Arial"/>
        </w:rPr>
      </w:pPr>
      <w:r w:rsidRPr="004D4829">
        <w:rPr>
          <w:rFonts w:ascii="Arial" w:hAnsi="Arial" w:cs="Arial"/>
        </w:rPr>
        <w:lastRenderedPageBreak/>
        <w:t>Consider how the process might inform planning for an Equity Panel in June 2020 from our school systems.</w:t>
      </w:r>
    </w:p>
    <w:p w14:paraId="1FA40C6F" w14:textId="77777777" w:rsidR="004D4829" w:rsidRPr="004D4829" w:rsidRDefault="004D4829" w:rsidP="004D4829">
      <w:pPr>
        <w:numPr>
          <w:ilvl w:val="0"/>
          <w:numId w:val="2"/>
        </w:numPr>
        <w:contextualSpacing/>
        <w:rPr>
          <w:rFonts w:ascii="Arial" w:hAnsi="Arial" w:cs="Arial"/>
          <w:b/>
          <w:bCs/>
        </w:rPr>
      </w:pPr>
      <w:r w:rsidRPr="004D4829">
        <w:rPr>
          <w:rFonts w:ascii="Arial" w:hAnsi="Arial" w:cs="Arial"/>
          <w:b/>
          <w:bCs/>
        </w:rPr>
        <w:t>IHEs</w:t>
      </w:r>
    </w:p>
    <w:p w14:paraId="737DCBA6"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Discuss ways that we can support the districts we serve in their identified areas.</w:t>
      </w:r>
    </w:p>
    <w:p w14:paraId="3BFA8A87" w14:textId="77777777" w:rsidR="004D4829" w:rsidRPr="004D4829" w:rsidRDefault="004D4829" w:rsidP="004D4829">
      <w:pPr>
        <w:numPr>
          <w:ilvl w:val="0"/>
          <w:numId w:val="2"/>
        </w:numPr>
        <w:contextualSpacing/>
        <w:rPr>
          <w:rFonts w:ascii="Arial" w:hAnsi="Arial" w:cs="Arial"/>
          <w:b/>
          <w:bCs/>
        </w:rPr>
      </w:pPr>
      <w:r w:rsidRPr="004D4829">
        <w:rPr>
          <w:rFonts w:ascii="Arial" w:hAnsi="Arial" w:cs="Arial"/>
          <w:b/>
          <w:bCs/>
        </w:rPr>
        <w:t>Districts (combined)</w:t>
      </w:r>
    </w:p>
    <w:p w14:paraId="15A13430"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Examine the TKES/LKES process to ensure growth of educators.</w:t>
      </w:r>
    </w:p>
    <w:p w14:paraId="645BD26D"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Drill down by school and address equity issues.</w:t>
      </w:r>
    </w:p>
    <w:p w14:paraId="31A49A42"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Solidify the recruitment/retention plan to support equity gaps.</w:t>
      </w:r>
    </w:p>
    <w:p w14:paraId="12BE96B8"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Facilitate internal data discussions in district relative to what was presented today.</w:t>
      </w:r>
    </w:p>
    <w:p w14:paraId="34A8C1EC"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Expand PDS experience to MS/HS.</w:t>
      </w:r>
    </w:p>
    <w:p w14:paraId="49245399"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 xml:space="preserve">Expand </w:t>
      </w:r>
      <w:r w:rsidRPr="004D4829">
        <w:rPr>
          <w:rFonts w:ascii="Arial" w:hAnsi="Arial" w:cs="Arial"/>
          <w:i/>
          <w:iCs/>
        </w:rPr>
        <w:t>Grow Your Own</w:t>
      </w:r>
      <w:r w:rsidRPr="004D4829">
        <w:rPr>
          <w:rFonts w:ascii="Arial" w:hAnsi="Arial" w:cs="Arial"/>
        </w:rPr>
        <w:t xml:space="preserve"> pipeline with universities to allow </w:t>
      </w:r>
      <w:proofErr w:type="spellStart"/>
      <w:r w:rsidRPr="004D4829">
        <w:rPr>
          <w:rFonts w:ascii="Arial" w:hAnsi="Arial" w:cs="Arial"/>
        </w:rPr>
        <w:t>parapros</w:t>
      </w:r>
      <w:proofErr w:type="spellEnd"/>
      <w:r w:rsidRPr="004D4829">
        <w:rPr>
          <w:rFonts w:ascii="Arial" w:hAnsi="Arial" w:cs="Arial"/>
        </w:rPr>
        <w:t xml:space="preserve"> to stay in jobs and fulfill certification requirements. </w:t>
      </w:r>
    </w:p>
    <w:p w14:paraId="11A7FEC2"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Consistent and intentional leaders support for providing feedback for coaching in the classroom.</w:t>
      </w:r>
    </w:p>
    <w:p w14:paraId="74E51AB6"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Intentional scheduling: students, service models</w:t>
      </w:r>
    </w:p>
    <w:p w14:paraId="143EA7D7"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Teacher pipeline through CTAE Education Pathway.</w:t>
      </w:r>
    </w:p>
    <w:p w14:paraId="42B98FFD" w14:textId="77777777" w:rsidR="004D4829" w:rsidRPr="004D4829" w:rsidRDefault="004D4829" w:rsidP="004D4829">
      <w:pPr>
        <w:numPr>
          <w:ilvl w:val="1"/>
          <w:numId w:val="2"/>
        </w:numPr>
        <w:contextualSpacing/>
        <w:rPr>
          <w:rFonts w:ascii="Arial" w:hAnsi="Arial" w:cs="Arial"/>
        </w:rPr>
      </w:pPr>
      <w:r w:rsidRPr="004D4829">
        <w:rPr>
          <w:rFonts w:ascii="Arial" w:hAnsi="Arial" w:cs="Arial"/>
        </w:rPr>
        <w:t>Track/monitor students signing with “Teacher Signing Day”</w:t>
      </w:r>
    </w:p>
    <w:p w14:paraId="63D5AF2E" w14:textId="77777777" w:rsidR="004D4829" w:rsidRPr="004D4829" w:rsidRDefault="004D4829" w:rsidP="004D4829">
      <w:pPr>
        <w:numPr>
          <w:ilvl w:val="1"/>
          <w:numId w:val="2"/>
        </w:numPr>
        <w:contextualSpacing/>
        <w:rPr>
          <w:rFonts w:ascii="Arial" w:hAnsi="Arial" w:cs="Arial"/>
          <w:sz w:val="24"/>
          <w:szCs w:val="24"/>
        </w:rPr>
      </w:pPr>
      <w:r w:rsidRPr="004D4829">
        <w:rPr>
          <w:rFonts w:ascii="Arial" w:hAnsi="Arial" w:cs="Arial"/>
          <w:sz w:val="24"/>
          <w:szCs w:val="24"/>
        </w:rPr>
        <w:t>Recruitment strategies: implementation…continual update/revise.</w:t>
      </w:r>
    </w:p>
    <w:p w14:paraId="17AE627D" w14:textId="77777777" w:rsidR="004D4829" w:rsidRPr="004D4829" w:rsidRDefault="004D4829" w:rsidP="004D4829">
      <w:pPr>
        <w:numPr>
          <w:ilvl w:val="1"/>
          <w:numId w:val="2"/>
        </w:numPr>
        <w:contextualSpacing/>
        <w:rPr>
          <w:rFonts w:ascii="Arial" w:hAnsi="Arial" w:cs="Arial"/>
          <w:sz w:val="24"/>
          <w:szCs w:val="24"/>
        </w:rPr>
      </w:pPr>
      <w:r w:rsidRPr="004D4829">
        <w:rPr>
          <w:rFonts w:ascii="Arial" w:hAnsi="Arial" w:cs="Arial"/>
          <w:sz w:val="24"/>
          <w:szCs w:val="24"/>
        </w:rPr>
        <w:t xml:space="preserve">Engage other district leaders to further analyze district equity data. </w:t>
      </w:r>
    </w:p>
    <w:p w14:paraId="180502AB" w14:textId="77777777" w:rsidR="004D4829" w:rsidRDefault="004D4829">
      <w:pPr>
        <w:rPr>
          <w:rFonts w:cstheme="minorHAnsi"/>
          <w:sz w:val="24"/>
          <w:szCs w:val="24"/>
        </w:rPr>
      </w:pPr>
    </w:p>
    <w:p w14:paraId="134428E0" w14:textId="77777777" w:rsidR="004D4829" w:rsidRDefault="004D4829">
      <w:pPr>
        <w:rPr>
          <w:rFonts w:cstheme="minorHAnsi"/>
          <w:sz w:val="24"/>
          <w:szCs w:val="24"/>
        </w:rPr>
      </w:pPr>
    </w:p>
    <w:p w14:paraId="38E0C92E" w14:textId="77777777" w:rsidR="004D4829" w:rsidRDefault="004D4829" w:rsidP="004D4829">
      <w:pPr>
        <w:jc w:val="center"/>
      </w:pPr>
      <w:r>
        <w:rPr>
          <w:b/>
        </w:rPr>
        <w:t xml:space="preserve">Equitable Schools and </w:t>
      </w:r>
      <w:r w:rsidRPr="002A77A8">
        <w:rPr>
          <w:b/>
        </w:rPr>
        <w:t>Your Equity Responsibilities</w:t>
      </w:r>
      <w:r>
        <w:t>:</w:t>
      </w:r>
    </w:p>
    <w:p w14:paraId="2292BF35" w14:textId="77777777" w:rsidR="004D4829" w:rsidRPr="00F762C1" w:rsidRDefault="004D4829" w:rsidP="004D4829">
      <w:pPr>
        <w:autoSpaceDE w:val="0"/>
        <w:autoSpaceDN w:val="0"/>
        <w:adjustRightInd w:val="0"/>
        <w:ind w:left="540"/>
        <w:rPr>
          <w:rFonts w:cstheme="minorHAnsi"/>
          <w:color w:val="0070C0"/>
          <w:sz w:val="16"/>
        </w:rPr>
      </w:pPr>
      <w:r w:rsidRPr="00F762C1">
        <w:rPr>
          <w:rFonts w:cstheme="minorHAnsi"/>
          <w:i/>
          <w:color w:val="0070C0"/>
        </w:rPr>
        <w:t xml:space="preserve">For years, educational entities have discussed the need for </w:t>
      </w:r>
      <w:r w:rsidRPr="00F762C1">
        <w:rPr>
          <w:rFonts w:cstheme="minorHAnsi"/>
          <w:i/>
          <w:color w:val="0070C0"/>
          <w:u w:val="single"/>
        </w:rPr>
        <w:t>equality</w:t>
      </w:r>
      <w:r w:rsidRPr="00F762C1">
        <w:rPr>
          <w:rFonts w:cstheme="minorHAnsi"/>
          <w:i/>
          <w:color w:val="0070C0"/>
        </w:rPr>
        <w:t xml:space="preserve">. Yet in order to resolve the achievement gap, the focus on educational </w:t>
      </w:r>
      <w:r w:rsidRPr="00F762C1">
        <w:rPr>
          <w:rFonts w:cstheme="minorHAnsi"/>
          <w:i/>
          <w:color w:val="0070C0"/>
          <w:u w:val="single"/>
        </w:rPr>
        <w:t>equality</w:t>
      </w:r>
      <w:r w:rsidRPr="00F762C1">
        <w:rPr>
          <w:rFonts w:cstheme="minorHAnsi"/>
          <w:i/>
          <w:color w:val="0070C0"/>
        </w:rPr>
        <w:t xml:space="preserve">, treating all students the same, must be replaced with efforts that advance educational </w:t>
      </w:r>
      <w:r w:rsidRPr="00F762C1">
        <w:rPr>
          <w:rFonts w:cstheme="minorHAnsi"/>
          <w:i/>
          <w:color w:val="0070C0"/>
          <w:u w:val="single"/>
        </w:rPr>
        <w:t>equity</w:t>
      </w:r>
      <w:r w:rsidRPr="00F762C1">
        <w:rPr>
          <w:rFonts w:cstheme="minorHAnsi"/>
          <w:i/>
          <w:color w:val="0070C0"/>
        </w:rPr>
        <w:t>, ensuring all students have the resources they need so they graduate prepared for success after high school</w:t>
      </w:r>
      <w:r w:rsidRPr="00F762C1">
        <w:rPr>
          <w:rFonts w:cstheme="minorHAnsi"/>
          <w:color w:val="0070C0"/>
        </w:rPr>
        <w:t xml:space="preserve"> </w:t>
      </w:r>
      <w:r w:rsidRPr="00F762C1">
        <w:rPr>
          <w:rFonts w:cstheme="minorHAnsi"/>
          <w:color w:val="0070C0"/>
          <w:sz w:val="16"/>
        </w:rPr>
        <w:t xml:space="preserve">(Hanover Research, 2017).  </w:t>
      </w:r>
    </w:p>
    <w:p w14:paraId="72BE1165" w14:textId="77777777" w:rsidR="004D4829" w:rsidRDefault="004D4829" w:rsidP="004D4829">
      <w:pPr>
        <w:autoSpaceDE w:val="0"/>
        <w:autoSpaceDN w:val="0"/>
        <w:adjustRightInd w:val="0"/>
        <w:ind w:left="-180" w:right="-270"/>
        <w:rPr>
          <w:rFonts w:cstheme="minorHAnsi"/>
          <w:b/>
        </w:rPr>
      </w:pPr>
      <w:r w:rsidRPr="006543B0">
        <w:rPr>
          <w:rFonts w:cstheme="minorHAnsi"/>
          <w:b/>
          <w:color w:val="FF0000"/>
          <w:u w:val="single"/>
        </w:rPr>
        <w:t>Instructions #1</w:t>
      </w:r>
      <w:r w:rsidRPr="006543B0">
        <w:rPr>
          <w:rFonts w:cstheme="minorHAnsi"/>
          <w:b/>
          <w:color w:val="FF0000"/>
        </w:rPr>
        <w:t>:</w:t>
      </w:r>
      <w:r>
        <w:rPr>
          <w:rFonts w:cstheme="minorHAnsi"/>
          <w:b/>
        </w:rPr>
        <w:t xml:space="preserve"> </w:t>
      </w:r>
      <w:r w:rsidRPr="00F762C1">
        <w:rPr>
          <w:rFonts w:cstheme="minorHAnsi"/>
          <w:b/>
        </w:rPr>
        <w:t xml:space="preserve">For equity to take place, schools must be inclusive, but what does an inclusive school look like?  </w:t>
      </w:r>
      <w:r>
        <w:rPr>
          <w:rFonts w:cstheme="minorHAnsi"/>
          <w:b/>
        </w:rPr>
        <w:t>Use the l</w:t>
      </w:r>
      <w:r w:rsidRPr="00F762C1">
        <w:rPr>
          <w:rFonts w:cstheme="minorHAnsi"/>
          <w:b/>
        </w:rPr>
        <w:t>ist of criteria</w:t>
      </w:r>
      <w:r>
        <w:rPr>
          <w:rFonts w:cstheme="minorHAnsi"/>
          <w:b/>
        </w:rPr>
        <w:t xml:space="preserve"> (below) to</w:t>
      </w:r>
      <w:r w:rsidRPr="00F762C1">
        <w:rPr>
          <w:rFonts w:cstheme="minorHAnsi"/>
          <w:b/>
        </w:rPr>
        <w:t xml:space="preserve"> self-assess</w:t>
      </w:r>
      <w:r>
        <w:rPr>
          <w:rFonts w:cstheme="minorHAnsi"/>
          <w:b/>
        </w:rPr>
        <w:t xml:space="preserve"> your school</w:t>
      </w:r>
      <w:r w:rsidRPr="00F762C1">
        <w:rPr>
          <w:rFonts w:cstheme="minorHAnsi"/>
          <w:b/>
        </w:rPr>
        <w:t>.</w:t>
      </w:r>
    </w:p>
    <w:p w14:paraId="00AE31ED" w14:textId="77777777" w:rsidR="004D4829" w:rsidRPr="001E2958" w:rsidRDefault="004D4829" w:rsidP="004D4829">
      <w:pPr>
        <w:autoSpaceDE w:val="0"/>
        <w:autoSpaceDN w:val="0"/>
        <w:adjustRightInd w:val="0"/>
        <w:spacing w:after="0" w:line="240" w:lineRule="auto"/>
        <w:ind w:left="720" w:right="-270"/>
        <w:rPr>
          <w:rFonts w:cstheme="minorHAnsi"/>
          <w:i/>
          <w:color w:val="0070C0"/>
          <w:sz w:val="21"/>
        </w:rPr>
      </w:pPr>
      <w:r w:rsidRPr="001E2958">
        <w:rPr>
          <w:rFonts w:cstheme="minorHAnsi"/>
          <w:i/>
          <w:color w:val="0070C0"/>
          <w:sz w:val="21"/>
        </w:rPr>
        <w:t>Level 1 = Not evident, Beginning</w:t>
      </w:r>
      <w:r w:rsidRPr="001E2958">
        <w:rPr>
          <w:rFonts w:cstheme="minorHAnsi"/>
          <w:i/>
          <w:color w:val="0070C0"/>
          <w:sz w:val="21"/>
        </w:rPr>
        <w:tab/>
      </w:r>
      <w:r w:rsidRPr="001E2958">
        <w:rPr>
          <w:rFonts w:cstheme="minorHAnsi"/>
          <w:i/>
          <w:color w:val="0070C0"/>
          <w:sz w:val="21"/>
        </w:rPr>
        <w:tab/>
      </w:r>
      <w:r w:rsidRPr="001E2958">
        <w:rPr>
          <w:rFonts w:cstheme="minorHAnsi"/>
          <w:i/>
          <w:color w:val="0070C0"/>
          <w:sz w:val="21"/>
        </w:rPr>
        <w:tab/>
        <w:t xml:space="preserve">Level 3 = Proficient, </w:t>
      </w:r>
      <w:r>
        <w:rPr>
          <w:rFonts w:cstheme="minorHAnsi"/>
          <w:i/>
          <w:color w:val="0070C0"/>
          <w:sz w:val="21"/>
        </w:rPr>
        <w:sym w:font="Symbol" w:char="F0B3"/>
      </w:r>
      <w:r>
        <w:rPr>
          <w:rFonts w:cstheme="minorHAnsi"/>
          <w:i/>
          <w:color w:val="0070C0"/>
          <w:sz w:val="21"/>
        </w:rPr>
        <w:t xml:space="preserve"> </w:t>
      </w:r>
      <w:r w:rsidRPr="001E2958">
        <w:rPr>
          <w:rFonts w:cstheme="minorHAnsi"/>
          <w:i/>
          <w:color w:val="0070C0"/>
          <w:sz w:val="21"/>
        </w:rPr>
        <w:t>70% Implementation</w:t>
      </w:r>
    </w:p>
    <w:p w14:paraId="35BE09AB" w14:textId="77777777" w:rsidR="004D4829" w:rsidRPr="001E2958" w:rsidRDefault="004D4829" w:rsidP="004D4829">
      <w:pPr>
        <w:autoSpaceDE w:val="0"/>
        <w:autoSpaceDN w:val="0"/>
        <w:adjustRightInd w:val="0"/>
        <w:spacing w:after="0" w:line="240" w:lineRule="auto"/>
        <w:ind w:left="720" w:right="-270"/>
        <w:rPr>
          <w:rFonts w:cstheme="minorHAnsi"/>
          <w:i/>
          <w:color w:val="0070C0"/>
          <w:sz w:val="21"/>
        </w:rPr>
      </w:pPr>
      <w:r w:rsidRPr="001E2958">
        <w:rPr>
          <w:rFonts w:cstheme="minorHAnsi"/>
          <w:i/>
          <w:color w:val="0070C0"/>
          <w:sz w:val="21"/>
        </w:rPr>
        <w:t xml:space="preserve">Level 2 = Developing, </w:t>
      </w:r>
      <w:r>
        <w:rPr>
          <w:rFonts w:cstheme="minorHAnsi"/>
          <w:i/>
          <w:color w:val="0070C0"/>
          <w:sz w:val="21"/>
        </w:rPr>
        <w:sym w:font="Symbol" w:char="F0A3"/>
      </w:r>
      <w:r>
        <w:rPr>
          <w:rFonts w:cstheme="minorHAnsi"/>
          <w:i/>
          <w:color w:val="0070C0"/>
          <w:sz w:val="21"/>
        </w:rPr>
        <w:t xml:space="preserve"> </w:t>
      </w:r>
      <w:r w:rsidRPr="001E2958">
        <w:rPr>
          <w:rFonts w:cstheme="minorHAnsi"/>
          <w:i/>
          <w:color w:val="0070C0"/>
          <w:sz w:val="21"/>
        </w:rPr>
        <w:t>50% Implementation</w:t>
      </w:r>
      <w:r>
        <w:rPr>
          <w:rFonts w:cstheme="minorHAnsi"/>
          <w:i/>
          <w:color w:val="0070C0"/>
          <w:sz w:val="21"/>
        </w:rPr>
        <w:tab/>
      </w:r>
      <w:r w:rsidRPr="001E2958">
        <w:rPr>
          <w:rFonts w:cstheme="minorHAnsi"/>
          <w:i/>
          <w:color w:val="0070C0"/>
          <w:sz w:val="21"/>
        </w:rPr>
        <w:t>Level 4 = Full Implementation</w:t>
      </w:r>
    </w:p>
    <w:tbl>
      <w:tblPr>
        <w:tblStyle w:val="TableGrid"/>
        <w:tblW w:w="9810" w:type="dxa"/>
        <w:tblInd w:w="-185" w:type="dxa"/>
        <w:tblLayout w:type="fixed"/>
        <w:tblLook w:val="04A0" w:firstRow="1" w:lastRow="0" w:firstColumn="1" w:lastColumn="0" w:noHBand="0" w:noVBand="1"/>
      </w:tblPr>
      <w:tblGrid>
        <w:gridCol w:w="7650"/>
        <w:gridCol w:w="540"/>
        <w:gridCol w:w="540"/>
        <w:gridCol w:w="540"/>
        <w:gridCol w:w="540"/>
      </w:tblGrid>
      <w:tr w:rsidR="004D4829" w14:paraId="64C7D752" w14:textId="77777777" w:rsidTr="0075718B">
        <w:tc>
          <w:tcPr>
            <w:tcW w:w="9810" w:type="dxa"/>
            <w:gridSpan w:val="5"/>
          </w:tcPr>
          <w:p w14:paraId="5685C448" w14:textId="77777777" w:rsidR="004D4829" w:rsidRPr="00F70DD7" w:rsidRDefault="004D4829" w:rsidP="0075718B">
            <w:pPr>
              <w:autoSpaceDE w:val="0"/>
              <w:autoSpaceDN w:val="0"/>
              <w:adjustRightInd w:val="0"/>
              <w:spacing w:line="276" w:lineRule="auto"/>
              <w:jc w:val="center"/>
              <w:rPr>
                <w:rFonts w:cstheme="minorHAnsi"/>
                <w:b/>
              </w:rPr>
            </w:pPr>
            <w:r w:rsidRPr="00F70DD7">
              <w:rPr>
                <w:rFonts w:cstheme="minorHAnsi"/>
                <w:b/>
              </w:rPr>
              <w:t xml:space="preserve">Inclusive / Equitable </w:t>
            </w:r>
            <w:r>
              <w:rPr>
                <w:rFonts w:cstheme="minorHAnsi"/>
                <w:b/>
              </w:rPr>
              <w:t>SCHOOL</w:t>
            </w:r>
            <w:r w:rsidRPr="00F70DD7">
              <w:rPr>
                <w:rFonts w:cstheme="minorHAnsi"/>
                <w:b/>
              </w:rPr>
              <w:t xml:space="preserve"> Self-Assessment</w:t>
            </w:r>
          </w:p>
        </w:tc>
      </w:tr>
      <w:tr w:rsidR="004D4829" w14:paraId="4C51D9C1" w14:textId="77777777" w:rsidTr="0075718B">
        <w:trPr>
          <w:cantSplit/>
          <w:trHeight w:val="206"/>
        </w:trPr>
        <w:tc>
          <w:tcPr>
            <w:tcW w:w="7650" w:type="dxa"/>
            <w:vMerge w:val="restart"/>
            <w:shd w:val="clear" w:color="auto" w:fill="D9D9D9" w:themeFill="background1" w:themeFillShade="D9"/>
          </w:tcPr>
          <w:p w14:paraId="619C4479" w14:textId="77777777" w:rsidR="004D4829" w:rsidRPr="00F70DD7" w:rsidRDefault="004D4829" w:rsidP="0075718B">
            <w:pPr>
              <w:autoSpaceDE w:val="0"/>
              <w:autoSpaceDN w:val="0"/>
              <w:adjustRightInd w:val="0"/>
              <w:spacing w:line="276" w:lineRule="auto"/>
              <w:rPr>
                <w:rFonts w:cstheme="minorHAnsi"/>
                <w:b/>
                <w:i/>
                <w:sz w:val="22"/>
              </w:rPr>
            </w:pPr>
            <w:r w:rsidRPr="00F70DD7">
              <w:rPr>
                <w:rFonts w:cstheme="minorHAnsi"/>
                <w:b/>
                <w:i/>
                <w:sz w:val="22"/>
              </w:rPr>
              <w:t>Criteria</w:t>
            </w:r>
          </w:p>
        </w:tc>
        <w:tc>
          <w:tcPr>
            <w:tcW w:w="2160" w:type="dxa"/>
            <w:gridSpan w:val="4"/>
            <w:tcBorders>
              <w:bottom w:val="single" w:sz="4" w:space="0" w:color="auto"/>
            </w:tcBorders>
            <w:shd w:val="clear" w:color="auto" w:fill="D9D9D9" w:themeFill="background1" w:themeFillShade="D9"/>
          </w:tcPr>
          <w:p w14:paraId="42FBAE13" w14:textId="77777777" w:rsidR="004D4829" w:rsidRDefault="004D4829" w:rsidP="0075718B">
            <w:pPr>
              <w:autoSpaceDE w:val="0"/>
              <w:autoSpaceDN w:val="0"/>
              <w:adjustRightInd w:val="0"/>
              <w:ind w:left="115" w:right="115"/>
              <w:jc w:val="center"/>
              <w:rPr>
                <w:rFonts w:cstheme="minorHAnsi"/>
                <w:b/>
                <w:i/>
                <w:sz w:val="16"/>
              </w:rPr>
            </w:pPr>
            <w:r w:rsidRPr="001E2958">
              <w:rPr>
                <w:rFonts w:cstheme="minorHAnsi"/>
                <w:b/>
                <w:i/>
                <w:sz w:val="18"/>
              </w:rPr>
              <w:t>Level</w:t>
            </w:r>
            <w:r>
              <w:rPr>
                <w:rFonts w:cstheme="minorHAnsi"/>
                <w:b/>
                <w:i/>
                <w:sz w:val="18"/>
              </w:rPr>
              <w:t>s</w:t>
            </w:r>
          </w:p>
        </w:tc>
      </w:tr>
      <w:tr w:rsidR="004D4829" w14:paraId="49029DF3" w14:textId="77777777" w:rsidTr="0075718B">
        <w:trPr>
          <w:cantSplit/>
          <w:trHeight w:val="251"/>
        </w:trPr>
        <w:tc>
          <w:tcPr>
            <w:tcW w:w="7650" w:type="dxa"/>
            <w:vMerge/>
            <w:tcBorders>
              <w:right w:val="single" w:sz="4" w:space="0" w:color="auto"/>
            </w:tcBorders>
            <w:shd w:val="clear" w:color="auto" w:fill="D9D9D9" w:themeFill="background1" w:themeFillShade="D9"/>
          </w:tcPr>
          <w:p w14:paraId="7B1BAC8F" w14:textId="77777777" w:rsidR="004D4829" w:rsidRPr="00F70DD7" w:rsidRDefault="004D4829" w:rsidP="0075718B">
            <w:pPr>
              <w:autoSpaceDE w:val="0"/>
              <w:autoSpaceDN w:val="0"/>
              <w:adjustRightInd w:val="0"/>
              <w:spacing w:line="276" w:lineRule="auto"/>
              <w:rPr>
                <w:rFonts w:cstheme="minorHAnsi"/>
                <w:b/>
                <w:i/>
                <w:sz w:val="22"/>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7D5EB" w14:textId="77777777" w:rsidR="004D4829" w:rsidRPr="001E2958" w:rsidRDefault="004D4829" w:rsidP="0075718B">
            <w:pPr>
              <w:autoSpaceDE w:val="0"/>
              <w:autoSpaceDN w:val="0"/>
              <w:adjustRightInd w:val="0"/>
              <w:ind w:left="115" w:right="115"/>
              <w:jc w:val="center"/>
              <w:rPr>
                <w:rFonts w:cstheme="minorHAnsi"/>
                <w:b/>
                <w:i/>
                <w:sz w:val="16"/>
              </w:rPr>
            </w:pPr>
            <w:r>
              <w:rPr>
                <w:rFonts w:cstheme="minorHAnsi"/>
                <w:b/>
                <w:i/>
                <w:sz w:val="16"/>
              </w:rPr>
              <w:t>1</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68ED4" w14:textId="77777777" w:rsidR="004D4829" w:rsidRPr="001E2958" w:rsidRDefault="004D4829" w:rsidP="0075718B">
            <w:pPr>
              <w:autoSpaceDE w:val="0"/>
              <w:autoSpaceDN w:val="0"/>
              <w:adjustRightInd w:val="0"/>
              <w:ind w:left="115" w:right="115"/>
              <w:jc w:val="center"/>
              <w:rPr>
                <w:rFonts w:cstheme="minorHAnsi"/>
                <w:b/>
                <w:i/>
                <w:sz w:val="16"/>
              </w:rPr>
            </w:pPr>
            <w:r>
              <w:rPr>
                <w:rFonts w:cstheme="minorHAnsi"/>
                <w:b/>
                <w:i/>
                <w:sz w:val="16"/>
              </w:rPr>
              <w:t>2</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261F5" w14:textId="77777777" w:rsidR="004D4829" w:rsidRPr="001E2958" w:rsidRDefault="004D4829" w:rsidP="0075718B">
            <w:pPr>
              <w:autoSpaceDE w:val="0"/>
              <w:autoSpaceDN w:val="0"/>
              <w:adjustRightInd w:val="0"/>
              <w:ind w:left="115" w:right="115"/>
              <w:jc w:val="center"/>
              <w:rPr>
                <w:rFonts w:cstheme="minorHAnsi"/>
                <w:b/>
                <w:i/>
                <w:sz w:val="16"/>
              </w:rPr>
            </w:pPr>
            <w:r>
              <w:rPr>
                <w:rFonts w:cstheme="minorHAnsi"/>
                <w:b/>
                <w:i/>
                <w:sz w:val="16"/>
              </w:rPr>
              <w:t>3</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F973" w14:textId="77777777" w:rsidR="004D4829" w:rsidRPr="001E2958" w:rsidRDefault="004D4829" w:rsidP="0075718B">
            <w:pPr>
              <w:autoSpaceDE w:val="0"/>
              <w:autoSpaceDN w:val="0"/>
              <w:adjustRightInd w:val="0"/>
              <w:ind w:left="115" w:right="115"/>
              <w:jc w:val="center"/>
              <w:rPr>
                <w:rFonts w:cstheme="minorHAnsi"/>
                <w:b/>
                <w:i/>
                <w:sz w:val="16"/>
              </w:rPr>
            </w:pPr>
            <w:r>
              <w:rPr>
                <w:rFonts w:cstheme="minorHAnsi"/>
                <w:b/>
                <w:i/>
                <w:sz w:val="16"/>
              </w:rPr>
              <w:t>4</w:t>
            </w:r>
          </w:p>
        </w:tc>
      </w:tr>
      <w:tr w:rsidR="004D4829" w14:paraId="1D18DC6F" w14:textId="77777777" w:rsidTr="0075718B">
        <w:tc>
          <w:tcPr>
            <w:tcW w:w="7650" w:type="dxa"/>
            <w:tcBorders>
              <w:right w:val="single" w:sz="4" w:space="0" w:color="auto"/>
            </w:tcBorders>
          </w:tcPr>
          <w:p w14:paraId="04723FC8" w14:textId="77777777" w:rsidR="004D4829" w:rsidRPr="001603F2" w:rsidRDefault="004D4829" w:rsidP="004D4829">
            <w:pPr>
              <w:pStyle w:val="ListParagraph"/>
              <w:numPr>
                <w:ilvl w:val="0"/>
                <w:numId w:val="3"/>
              </w:numPr>
              <w:autoSpaceDE w:val="0"/>
              <w:autoSpaceDN w:val="0"/>
              <w:adjustRightInd w:val="0"/>
              <w:ind w:left="434"/>
              <w:rPr>
                <w:rFonts w:cstheme="minorHAnsi"/>
                <w:sz w:val="19"/>
                <w:szCs w:val="19"/>
              </w:rPr>
            </w:pPr>
            <w:r w:rsidRPr="001603F2">
              <w:rPr>
                <w:rFonts w:cstheme="minorHAnsi"/>
                <w:sz w:val="19"/>
                <w:szCs w:val="19"/>
              </w:rPr>
              <w:t>A vision of success for each student permeates the school and drives the work of each staff member.</w:t>
            </w:r>
          </w:p>
        </w:tc>
        <w:tc>
          <w:tcPr>
            <w:tcW w:w="540" w:type="dxa"/>
            <w:tcBorders>
              <w:top w:val="single" w:sz="4" w:space="0" w:color="auto"/>
              <w:left w:val="single" w:sz="4" w:space="0" w:color="auto"/>
              <w:bottom w:val="single" w:sz="4" w:space="0" w:color="auto"/>
              <w:right w:val="single" w:sz="4" w:space="0" w:color="auto"/>
            </w:tcBorders>
          </w:tcPr>
          <w:p w14:paraId="2E05A097"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EE9EE4"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526917"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969683"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7BB44836" w14:textId="77777777" w:rsidTr="0075718B">
        <w:trPr>
          <w:trHeight w:val="431"/>
        </w:trPr>
        <w:tc>
          <w:tcPr>
            <w:tcW w:w="7650" w:type="dxa"/>
            <w:tcBorders>
              <w:right w:val="single" w:sz="4" w:space="0" w:color="auto"/>
            </w:tcBorders>
          </w:tcPr>
          <w:p w14:paraId="5DCD54AE" w14:textId="77777777" w:rsidR="004D4829" w:rsidRPr="001603F2" w:rsidRDefault="004D4829" w:rsidP="004D4829">
            <w:pPr>
              <w:pStyle w:val="ListParagraph"/>
              <w:numPr>
                <w:ilvl w:val="0"/>
                <w:numId w:val="3"/>
              </w:numPr>
              <w:ind w:left="434"/>
              <w:rPr>
                <w:color w:val="000000" w:themeColor="text1"/>
                <w:sz w:val="19"/>
                <w:szCs w:val="19"/>
              </w:rPr>
            </w:pPr>
            <w:r w:rsidRPr="001603F2">
              <w:rPr>
                <w:color w:val="000000" w:themeColor="text1"/>
                <w:sz w:val="19"/>
                <w:szCs w:val="19"/>
                <w:shd w:val="clear" w:color="auto" w:fill="FFFFFF"/>
              </w:rPr>
              <w:t>The school holds high expectations and standards, with a rigorous and comprehensive curriculum for each student.</w:t>
            </w:r>
          </w:p>
        </w:tc>
        <w:tc>
          <w:tcPr>
            <w:tcW w:w="540" w:type="dxa"/>
            <w:tcBorders>
              <w:top w:val="single" w:sz="4" w:space="0" w:color="auto"/>
              <w:left w:val="single" w:sz="4" w:space="0" w:color="auto"/>
              <w:bottom w:val="single" w:sz="4" w:space="0" w:color="auto"/>
              <w:right w:val="single" w:sz="4" w:space="0" w:color="auto"/>
            </w:tcBorders>
          </w:tcPr>
          <w:p w14:paraId="2936868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D4CC48"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AD9FB4"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D4830D"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58A31899" w14:textId="77777777" w:rsidTr="0075718B">
        <w:tc>
          <w:tcPr>
            <w:tcW w:w="7650" w:type="dxa"/>
            <w:tcBorders>
              <w:right w:val="single" w:sz="4" w:space="0" w:color="auto"/>
            </w:tcBorders>
          </w:tcPr>
          <w:p w14:paraId="4E432C30"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The school environment is warm, friendly, and rewards learning.</w:t>
            </w:r>
          </w:p>
        </w:tc>
        <w:tc>
          <w:tcPr>
            <w:tcW w:w="540" w:type="dxa"/>
            <w:tcBorders>
              <w:top w:val="single" w:sz="4" w:space="0" w:color="auto"/>
              <w:left w:val="single" w:sz="4" w:space="0" w:color="auto"/>
              <w:bottom w:val="single" w:sz="4" w:space="0" w:color="auto"/>
              <w:right w:val="single" w:sz="4" w:space="0" w:color="auto"/>
            </w:tcBorders>
          </w:tcPr>
          <w:p w14:paraId="02030EEC"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603346"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9BDF78"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61D8E3AC"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453381FA" w14:textId="77777777" w:rsidTr="0075718B">
        <w:tc>
          <w:tcPr>
            <w:tcW w:w="7650" w:type="dxa"/>
            <w:tcBorders>
              <w:right w:val="single" w:sz="4" w:space="0" w:color="auto"/>
            </w:tcBorders>
          </w:tcPr>
          <w:p w14:paraId="03F37AA1"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 xml:space="preserve">The school promotes collaboration rather than competition. </w:t>
            </w:r>
          </w:p>
        </w:tc>
        <w:tc>
          <w:tcPr>
            <w:tcW w:w="540" w:type="dxa"/>
            <w:tcBorders>
              <w:top w:val="single" w:sz="4" w:space="0" w:color="auto"/>
              <w:left w:val="single" w:sz="4" w:space="0" w:color="auto"/>
              <w:bottom w:val="single" w:sz="4" w:space="0" w:color="auto"/>
              <w:right w:val="single" w:sz="4" w:space="0" w:color="auto"/>
            </w:tcBorders>
          </w:tcPr>
          <w:p w14:paraId="2EB42C2F"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510FDBAB"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6B0BBB"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ADF240"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66AAB377" w14:textId="77777777" w:rsidTr="0075718B">
        <w:trPr>
          <w:trHeight w:val="233"/>
        </w:trPr>
        <w:tc>
          <w:tcPr>
            <w:tcW w:w="7650" w:type="dxa"/>
            <w:tcBorders>
              <w:right w:val="single" w:sz="4" w:space="0" w:color="auto"/>
            </w:tcBorders>
          </w:tcPr>
          <w:p w14:paraId="640E300E"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The school publicly seeks and values a diverse student body.</w:t>
            </w:r>
          </w:p>
        </w:tc>
        <w:tc>
          <w:tcPr>
            <w:tcW w:w="540" w:type="dxa"/>
            <w:tcBorders>
              <w:top w:val="single" w:sz="4" w:space="0" w:color="auto"/>
              <w:left w:val="single" w:sz="4" w:space="0" w:color="auto"/>
              <w:bottom w:val="single" w:sz="4" w:space="0" w:color="auto"/>
              <w:right w:val="single" w:sz="4" w:space="0" w:color="auto"/>
            </w:tcBorders>
          </w:tcPr>
          <w:p w14:paraId="0F5679E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03906812"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F52E63"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01807B"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514491EE" w14:textId="77777777" w:rsidTr="0075718B">
        <w:tc>
          <w:tcPr>
            <w:tcW w:w="7650" w:type="dxa"/>
            <w:tcBorders>
              <w:right w:val="single" w:sz="4" w:space="0" w:color="auto"/>
            </w:tcBorders>
          </w:tcPr>
          <w:p w14:paraId="3DB3D2B1"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Effective efforts are made to promote student’s respecting, and interacting with, students from diverse backgrounds.</w:t>
            </w:r>
          </w:p>
        </w:tc>
        <w:tc>
          <w:tcPr>
            <w:tcW w:w="540" w:type="dxa"/>
            <w:tcBorders>
              <w:top w:val="single" w:sz="4" w:space="0" w:color="auto"/>
              <w:left w:val="single" w:sz="4" w:space="0" w:color="auto"/>
              <w:bottom w:val="single" w:sz="4" w:space="0" w:color="auto"/>
              <w:right w:val="single" w:sz="4" w:space="0" w:color="auto"/>
            </w:tcBorders>
          </w:tcPr>
          <w:p w14:paraId="36A6B0CF"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D9CD3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5A38769"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8E905A"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5CB93126" w14:textId="77777777" w:rsidTr="0075718B">
        <w:tc>
          <w:tcPr>
            <w:tcW w:w="7650" w:type="dxa"/>
            <w:tcBorders>
              <w:right w:val="single" w:sz="4" w:space="0" w:color="auto"/>
            </w:tcBorders>
          </w:tcPr>
          <w:p w14:paraId="4E9F2B01"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School facilities and resources are at least equal with other district schools.</w:t>
            </w:r>
          </w:p>
        </w:tc>
        <w:tc>
          <w:tcPr>
            <w:tcW w:w="540" w:type="dxa"/>
            <w:tcBorders>
              <w:top w:val="single" w:sz="4" w:space="0" w:color="auto"/>
              <w:left w:val="single" w:sz="4" w:space="0" w:color="auto"/>
              <w:bottom w:val="single" w:sz="4" w:space="0" w:color="auto"/>
              <w:right w:val="single" w:sz="4" w:space="0" w:color="auto"/>
            </w:tcBorders>
          </w:tcPr>
          <w:p w14:paraId="4B41B382"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905C84"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3A0912"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7ADE91"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36E72BD4" w14:textId="77777777" w:rsidTr="0075718B">
        <w:tc>
          <w:tcPr>
            <w:tcW w:w="7650" w:type="dxa"/>
            <w:tcBorders>
              <w:right w:val="single" w:sz="4" w:space="0" w:color="auto"/>
            </w:tcBorders>
          </w:tcPr>
          <w:p w14:paraId="479F5BCA"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lastRenderedPageBreak/>
              <w:t>Classroom placement and student schedules ensure that diversity exists in all learning environments.</w:t>
            </w:r>
          </w:p>
        </w:tc>
        <w:tc>
          <w:tcPr>
            <w:tcW w:w="540" w:type="dxa"/>
            <w:tcBorders>
              <w:top w:val="single" w:sz="4" w:space="0" w:color="auto"/>
              <w:left w:val="single" w:sz="4" w:space="0" w:color="auto"/>
              <w:bottom w:val="single" w:sz="4" w:space="0" w:color="auto"/>
              <w:right w:val="single" w:sz="4" w:space="0" w:color="auto"/>
            </w:tcBorders>
          </w:tcPr>
          <w:p w14:paraId="47913E2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0B56D6"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6" w:space="0" w:color="auto"/>
              <w:right w:val="single" w:sz="4" w:space="0" w:color="auto"/>
            </w:tcBorders>
          </w:tcPr>
          <w:p w14:paraId="100F0758"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9965E7"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42E6D36A" w14:textId="77777777" w:rsidTr="0075718B">
        <w:tc>
          <w:tcPr>
            <w:tcW w:w="7650" w:type="dxa"/>
            <w:tcBorders>
              <w:right w:val="single" w:sz="4" w:space="0" w:color="auto"/>
            </w:tcBorders>
          </w:tcPr>
          <w:p w14:paraId="5D8946D8"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Data is used to provide effective differentiated instruction to meet the needs of all students (struggling to advanced).</w:t>
            </w:r>
          </w:p>
        </w:tc>
        <w:tc>
          <w:tcPr>
            <w:tcW w:w="540" w:type="dxa"/>
            <w:tcBorders>
              <w:top w:val="single" w:sz="4" w:space="0" w:color="auto"/>
              <w:left w:val="single" w:sz="4" w:space="0" w:color="auto"/>
              <w:bottom w:val="single" w:sz="4" w:space="0" w:color="auto"/>
              <w:right w:val="single" w:sz="4" w:space="0" w:color="auto"/>
            </w:tcBorders>
          </w:tcPr>
          <w:p w14:paraId="766FBCB5"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A76FB4"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6" w:space="0" w:color="auto"/>
              <w:left w:val="single" w:sz="4" w:space="0" w:color="auto"/>
              <w:bottom w:val="single" w:sz="4" w:space="0" w:color="auto"/>
              <w:right w:val="single" w:sz="4" w:space="0" w:color="auto"/>
            </w:tcBorders>
          </w:tcPr>
          <w:p w14:paraId="2D752149"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8ABFA5"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7AAA1053" w14:textId="77777777" w:rsidTr="0075718B">
        <w:tc>
          <w:tcPr>
            <w:tcW w:w="7650" w:type="dxa"/>
            <w:tcBorders>
              <w:right w:val="single" w:sz="4" w:space="0" w:color="auto"/>
            </w:tcBorders>
          </w:tcPr>
          <w:p w14:paraId="2C49655F"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Resources are allotted based on identified student learning needs.</w:t>
            </w:r>
          </w:p>
        </w:tc>
        <w:tc>
          <w:tcPr>
            <w:tcW w:w="540" w:type="dxa"/>
            <w:tcBorders>
              <w:top w:val="single" w:sz="4" w:space="0" w:color="auto"/>
              <w:left w:val="single" w:sz="4" w:space="0" w:color="auto"/>
              <w:bottom w:val="single" w:sz="4" w:space="0" w:color="auto"/>
              <w:right w:val="single" w:sz="4" w:space="0" w:color="auto"/>
            </w:tcBorders>
          </w:tcPr>
          <w:p w14:paraId="16C2C6FB"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583A03"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B67315"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69DF58"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0BD476F7" w14:textId="77777777" w:rsidTr="0075718B">
        <w:tc>
          <w:tcPr>
            <w:tcW w:w="7650" w:type="dxa"/>
            <w:tcBorders>
              <w:right w:val="single" w:sz="4" w:space="0" w:color="auto"/>
            </w:tcBorders>
          </w:tcPr>
          <w:p w14:paraId="69414CCA"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Staff and students are comfortable identifying inequities. They know their “voice” is heard.</w:t>
            </w:r>
          </w:p>
        </w:tc>
        <w:tc>
          <w:tcPr>
            <w:tcW w:w="540" w:type="dxa"/>
            <w:tcBorders>
              <w:top w:val="single" w:sz="4" w:space="0" w:color="auto"/>
              <w:left w:val="single" w:sz="4" w:space="0" w:color="auto"/>
              <w:bottom w:val="single" w:sz="4" w:space="0" w:color="auto"/>
              <w:right w:val="single" w:sz="4" w:space="0" w:color="auto"/>
            </w:tcBorders>
          </w:tcPr>
          <w:p w14:paraId="092BDF57"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23CD0A"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7E00E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F66D85"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24DF721A" w14:textId="77777777" w:rsidTr="0075718B">
        <w:tc>
          <w:tcPr>
            <w:tcW w:w="7650" w:type="dxa"/>
            <w:tcBorders>
              <w:right w:val="single" w:sz="4" w:space="0" w:color="auto"/>
            </w:tcBorders>
          </w:tcPr>
          <w:p w14:paraId="70E48791"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 xml:space="preserve">Achievement data (by grade levels, content areas, and subgroups) are known, understood, and used for decision making by all staff members. </w:t>
            </w:r>
          </w:p>
        </w:tc>
        <w:tc>
          <w:tcPr>
            <w:tcW w:w="540" w:type="dxa"/>
            <w:tcBorders>
              <w:top w:val="single" w:sz="4" w:space="0" w:color="auto"/>
              <w:left w:val="single" w:sz="4" w:space="0" w:color="auto"/>
              <w:bottom w:val="single" w:sz="4" w:space="0" w:color="auto"/>
              <w:right w:val="single" w:sz="4" w:space="0" w:color="auto"/>
            </w:tcBorders>
          </w:tcPr>
          <w:p w14:paraId="0A31BB77"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F18C63"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A388BB"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5C154CF"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5598B344" w14:textId="77777777" w:rsidTr="0075718B">
        <w:tc>
          <w:tcPr>
            <w:tcW w:w="7650" w:type="dxa"/>
            <w:tcBorders>
              <w:right w:val="single" w:sz="4" w:space="0" w:color="auto"/>
            </w:tcBorders>
          </w:tcPr>
          <w:p w14:paraId="2B290E50"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Discipline data has been analyzed for subgroup disproportionality and all staff members are aware of the discipline disparities.</w:t>
            </w:r>
          </w:p>
        </w:tc>
        <w:tc>
          <w:tcPr>
            <w:tcW w:w="540" w:type="dxa"/>
            <w:tcBorders>
              <w:top w:val="single" w:sz="4" w:space="0" w:color="auto"/>
              <w:left w:val="single" w:sz="4" w:space="0" w:color="auto"/>
              <w:bottom w:val="single" w:sz="4" w:space="0" w:color="auto"/>
              <w:right w:val="single" w:sz="4" w:space="0" w:color="auto"/>
            </w:tcBorders>
          </w:tcPr>
          <w:p w14:paraId="6116D5BF"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12F38D"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164908"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FC8575"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6B174BAF" w14:textId="77777777" w:rsidTr="0075718B">
        <w:tc>
          <w:tcPr>
            <w:tcW w:w="7650" w:type="dxa"/>
            <w:tcBorders>
              <w:right w:val="single" w:sz="4" w:space="0" w:color="auto"/>
            </w:tcBorders>
          </w:tcPr>
          <w:p w14:paraId="5E2228C5"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 xml:space="preserve">Improvement plans include action steps / strategies to address any identified disparities in achievement and discipline. </w:t>
            </w:r>
          </w:p>
        </w:tc>
        <w:tc>
          <w:tcPr>
            <w:tcW w:w="540" w:type="dxa"/>
            <w:tcBorders>
              <w:top w:val="single" w:sz="4" w:space="0" w:color="auto"/>
              <w:left w:val="single" w:sz="4" w:space="0" w:color="auto"/>
              <w:bottom w:val="single" w:sz="4" w:space="0" w:color="auto"/>
              <w:right w:val="single" w:sz="4" w:space="0" w:color="auto"/>
            </w:tcBorders>
          </w:tcPr>
          <w:p w14:paraId="5F82EB13"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C812C1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864A2C"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D85A91"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137D1D5E" w14:textId="77777777" w:rsidTr="0075718B">
        <w:trPr>
          <w:trHeight w:val="260"/>
        </w:trPr>
        <w:tc>
          <w:tcPr>
            <w:tcW w:w="7650" w:type="dxa"/>
            <w:tcBorders>
              <w:right w:val="single" w:sz="4" w:space="0" w:color="auto"/>
            </w:tcBorders>
          </w:tcPr>
          <w:p w14:paraId="77BF5EB3"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 xml:space="preserve">Educators in the school share the responsibility for </w:t>
            </w:r>
            <w:r w:rsidRPr="001603F2">
              <w:rPr>
                <w:rFonts w:cstheme="minorHAnsi"/>
                <w:b/>
                <w:color w:val="000000" w:themeColor="text1"/>
                <w:sz w:val="19"/>
                <w:szCs w:val="19"/>
              </w:rPr>
              <w:t>each</w:t>
            </w:r>
            <w:r w:rsidRPr="001603F2">
              <w:rPr>
                <w:rFonts w:cstheme="minorHAnsi"/>
                <w:color w:val="000000" w:themeColor="text1"/>
                <w:sz w:val="19"/>
                <w:szCs w:val="19"/>
              </w:rPr>
              <w:t xml:space="preserve"> learner’s success.</w:t>
            </w:r>
          </w:p>
        </w:tc>
        <w:tc>
          <w:tcPr>
            <w:tcW w:w="540" w:type="dxa"/>
            <w:tcBorders>
              <w:top w:val="single" w:sz="4" w:space="0" w:color="auto"/>
              <w:left w:val="single" w:sz="4" w:space="0" w:color="auto"/>
              <w:bottom w:val="single" w:sz="4" w:space="0" w:color="auto"/>
              <w:right w:val="single" w:sz="4" w:space="0" w:color="auto"/>
            </w:tcBorders>
          </w:tcPr>
          <w:p w14:paraId="03A0E90D"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193A1D"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D752B0"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008BEFDA"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1698333A" w14:textId="77777777" w:rsidTr="0075718B">
        <w:trPr>
          <w:trHeight w:val="242"/>
        </w:trPr>
        <w:tc>
          <w:tcPr>
            <w:tcW w:w="7650" w:type="dxa"/>
            <w:tcBorders>
              <w:right w:val="single" w:sz="4" w:space="0" w:color="auto"/>
            </w:tcBorders>
          </w:tcPr>
          <w:p w14:paraId="41DC6834" w14:textId="77777777" w:rsidR="004D4829" w:rsidRPr="001603F2" w:rsidRDefault="004D4829" w:rsidP="004D4829">
            <w:pPr>
              <w:pStyle w:val="ListParagraph"/>
              <w:numPr>
                <w:ilvl w:val="0"/>
                <w:numId w:val="3"/>
              </w:numPr>
              <w:ind w:left="434"/>
              <w:rPr>
                <w:rFonts w:cstheme="minorHAnsi"/>
                <w:color w:val="000000" w:themeColor="text1"/>
                <w:sz w:val="19"/>
                <w:szCs w:val="19"/>
              </w:rPr>
            </w:pPr>
            <w:r w:rsidRPr="001603F2">
              <w:rPr>
                <w:color w:val="000000" w:themeColor="text1"/>
                <w:sz w:val="19"/>
                <w:szCs w:val="19"/>
                <w:shd w:val="clear" w:color="auto" w:fill="FFFFFF"/>
              </w:rPr>
              <w:t>The school has a qualified, caring, diverse, and stable workforce.</w:t>
            </w:r>
          </w:p>
        </w:tc>
        <w:tc>
          <w:tcPr>
            <w:tcW w:w="540" w:type="dxa"/>
            <w:tcBorders>
              <w:top w:val="single" w:sz="4" w:space="0" w:color="auto"/>
              <w:left w:val="single" w:sz="4" w:space="0" w:color="auto"/>
              <w:bottom w:val="single" w:sz="4" w:space="0" w:color="auto"/>
              <w:right w:val="single" w:sz="4" w:space="0" w:color="auto"/>
            </w:tcBorders>
          </w:tcPr>
          <w:p w14:paraId="3F967C0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21E920"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F92168"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834FC6"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752A180D" w14:textId="77777777" w:rsidTr="0075718B">
        <w:tc>
          <w:tcPr>
            <w:tcW w:w="7650" w:type="dxa"/>
            <w:tcBorders>
              <w:right w:val="single" w:sz="4" w:space="0" w:color="auto"/>
            </w:tcBorders>
          </w:tcPr>
          <w:p w14:paraId="67F1F8CE"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 xml:space="preserve">Professional learning on </w:t>
            </w:r>
            <w:r w:rsidRPr="001603F2">
              <w:rPr>
                <w:rFonts w:cstheme="minorHAnsi"/>
                <w:color w:val="000000"/>
                <w:sz w:val="19"/>
                <w:szCs w:val="19"/>
              </w:rPr>
              <w:t>methods to provide rigorous, relevant, and responsive instruction to diverse students is provided for staff.</w:t>
            </w:r>
          </w:p>
        </w:tc>
        <w:tc>
          <w:tcPr>
            <w:tcW w:w="540" w:type="dxa"/>
            <w:tcBorders>
              <w:top w:val="single" w:sz="4" w:space="0" w:color="auto"/>
              <w:left w:val="single" w:sz="4" w:space="0" w:color="auto"/>
              <w:bottom w:val="single" w:sz="4" w:space="0" w:color="auto"/>
              <w:right w:val="single" w:sz="4" w:space="0" w:color="auto"/>
            </w:tcBorders>
          </w:tcPr>
          <w:p w14:paraId="48E2F4A4"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45D01071"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13A939"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4FD84F" w14:textId="77777777" w:rsidR="004D4829" w:rsidRPr="0072542F" w:rsidRDefault="004D4829" w:rsidP="0075718B">
            <w:pPr>
              <w:autoSpaceDE w:val="0"/>
              <w:autoSpaceDN w:val="0"/>
              <w:adjustRightInd w:val="0"/>
              <w:spacing w:line="276" w:lineRule="auto"/>
              <w:rPr>
                <w:rFonts w:cstheme="minorHAnsi"/>
                <w:sz w:val="20"/>
                <w:szCs w:val="20"/>
              </w:rPr>
            </w:pPr>
          </w:p>
        </w:tc>
      </w:tr>
      <w:tr w:rsidR="004D4829" w14:paraId="304BFAAF" w14:textId="77777777" w:rsidTr="0075718B">
        <w:tc>
          <w:tcPr>
            <w:tcW w:w="7650" w:type="dxa"/>
            <w:tcBorders>
              <w:right w:val="single" w:sz="4" w:space="0" w:color="auto"/>
            </w:tcBorders>
          </w:tcPr>
          <w:p w14:paraId="6AE9A441" w14:textId="77777777" w:rsidR="004D4829" w:rsidRPr="001603F2" w:rsidRDefault="004D4829" w:rsidP="004D4829">
            <w:pPr>
              <w:pStyle w:val="ListParagraph"/>
              <w:numPr>
                <w:ilvl w:val="0"/>
                <w:numId w:val="3"/>
              </w:numPr>
              <w:autoSpaceDE w:val="0"/>
              <w:autoSpaceDN w:val="0"/>
              <w:adjustRightInd w:val="0"/>
              <w:ind w:left="434"/>
              <w:rPr>
                <w:rFonts w:cstheme="minorHAnsi"/>
                <w:color w:val="000000" w:themeColor="text1"/>
                <w:sz w:val="19"/>
                <w:szCs w:val="19"/>
              </w:rPr>
            </w:pPr>
            <w:r w:rsidRPr="001603F2">
              <w:rPr>
                <w:rFonts w:cstheme="minorHAnsi"/>
                <w:color w:val="000000" w:themeColor="text1"/>
                <w:sz w:val="19"/>
                <w:szCs w:val="19"/>
              </w:rPr>
              <w:t>Academic performance, discipline referrals, student motivation, and attendance for all students and each subgroup is improving.</w:t>
            </w:r>
          </w:p>
        </w:tc>
        <w:tc>
          <w:tcPr>
            <w:tcW w:w="540" w:type="dxa"/>
            <w:tcBorders>
              <w:top w:val="single" w:sz="4" w:space="0" w:color="auto"/>
              <w:left w:val="single" w:sz="4" w:space="0" w:color="auto"/>
              <w:bottom w:val="single" w:sz="4" w:space="0" w:color="auto"/>
              <w:right w:val="single" w:sz="4" w:space="0" w:color="auto"/>
            </w:tcBorders>
          </w:tcPr>
          <w:p w14:paraId="204F436E"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DAA981"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A58BD6" w14:textId="77777777" w:rsidR="004D4829" w:rsidRPr="0072542F" w:rsidRDefault="004D4829" w:rsidP="0075718B">
            <w:pPr>
              <w:autoSpaceDE w:val="0"/>
              <w:autoSpaceDN w:val="0"/>
              <w:adjustRightInd w:val="0"/>
              <w:spacing w:line="276" w:lineRule="auto"/>
              <w:rPr>
                <w:rFonts w:cs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14:paraId="1FF25FA5" w14:textId="77777777" w:rsidR="004D4829" w:rsidRPr="0072542F" w:rsidRDefault="004D4829" w:rsidP="0075718B">
            <w:pPr>
              <w:autoSpaceDE w:val="0"/>
              <w:autoSpaceDN w:val="0"/>
              <w:adjustRightInd w:val="0"/>
              <w:spacing w:line="276" w:lineRule="auto"/>
              <w:rPr>
                <w:rFonts w:cstheme="minorHAnsi"/>
                <w:sz w:val="20"/>
                <w:szCs w:val="20"/>
              </w:rPr>
            </w:pPr>
          </w:p>
        </w:tc>
      </w:tr>
    </w:tbl>
    <w:p w14:paraId="6DDCD8D3" w14:textId="77777777" w:rsidR="004D4829" w:rsidRPr="00724B98" w:rsidRDefault="004D4829">
      <w:pPr>
        <w:rPr>
          <w:rFonts w:cstheme="minorHAnsi"/>
          <w:sz w:val="24"/>
          <w:szCs w:val="24"/>
        </w:rPr>
      </w:pPr>
    </w:p>
    <w:sectPr w:rsidR="004D4829" w:rsidRPr="00724B98" w:rsidSect="004D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469"/>
    <w:multiLevelType w:val="hybridMultilevel"/>
    <w:tmpl w:val="645EF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A3C"/>
    <w:multiLevelType w:val="hybridMultilevel"/>
    <w:tmpl w:val="8C2A8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42508"/>
    <w:multiLevelType w:val="hybridMultilevel"/>
    <w:tmpl w:val="9EA6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98"/>
    <w:rsid w:val="00154BA2"/>
    <w:rsid w:val="00470C74"/>
    <w:rsid w:val="004D4829"/>
    <w:rsid w:val="00647D4F"/>
    <w:rsid w:val="00724B98"/>
    <w:rsid w:val="00881C0E"/>
    <w:rsid w:val="00E3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719F"/>
  <w15:chartTrackingRefBased/>
  <w15:docId w15:val="{2EC04C8A-D6BD-44FE-B9F5-2E210F9E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B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4829"/>
    <w:pPr>
      <w:spacing w:after="0" w:line="240" w:lineRule="auto"/>
      <w:ind w:left="720"/>
      <w:contextualSpacing/>
    </w:pPr>
    <w:rPr>
      <w:sz w:val="24"/>
      <w:szCs w:val="24"/>
    </w:rPr>
  </w:style>
  <w:style w:type="table" w:styleId="TableGrid">
    <w:name w:val="Table Grid"/>
    <w:basedOn w:val="TableNormal"/>
    <w:uiPriority w:val="39"/>
    <w:rsid w:val="004D48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6841">
      <w:bodyDiv w:val="1"/>
      <w:marLeft w:val="0"/>
      <w:marRight w:val="0"/>
      <w:marTop w:val="0"/>
      <w:marBottom w:val="0"/>
      <w:divBdr>
        <w:top w:val="none" w:sz="0" w:space="0" w:color="auto"/>
        <w:left w:val="none" w:sz="0" w:space="0" w:color="auto"/>
        <w:bottom w:val="none" w:sz="0" w:space="0" w:color="auto"/>
        <w:right w:val="none" w:sz="0" w:space="0" w:color="auto"/>
      </w:divBdr>
    </w:div>
    <w:div w:id="318121741">
      <w:bodyDiv w:val="1"/>
      <w:marLeft w:val="0"/>
      <w:marRight w:val="0"/>
      <w:marTop w:val="0"/>
      <w:marBottom w:val="0"/>
      <w:divBdr>
        <w:top w:val="none" w:sz="0" w:space="0" w:color="auto"/>
        <w:left w:val="none" w:sz="0" w:space="0" w:color="auto"/>
        <w:bottom w:val="none" w:sz="0" w:space="0" w:color="auto"/>
        <w:right w:val="none" w:sz="0" w:space="0" w:color="auto"/>
      </w:divBdr>
    </w:div>
    <w:div w:id="381565224">
      <w:bodyDiv w:val="1"/>
      <w:marLeft w:val="0"/>
      <w:marRight w:val="0"/>
      <w:marTop w:val="0"/>
      <w:marBottom w:val="0"/>
      <w:divBdr>
        <w:top w:val="none" w:sz="0" w:space="0" w:color="auto"/>
        <w:left w:val="none" w:sz="0" w:space="0" w:color="auto"/>
        <w:bottom w:val="none" w:sz="0" w:space="0" w:color="auto"/>
        <w:right w:val="none" w:sz="0" w:space="0" w:color="auto"/>
      </w:divBdr>
    </w:div>
    <w:div w:id="572588834">
      <w:bodyDiv w:val="1"/>
      <w:marLeft w:val="0"/>
      <w:marRight w:val="0"/>
      <w:marTop w:val="0"/>
      <w:marBottom w:val="0"/>
      <w:divBdr>
        <w:top w:val="none" w:sz="0" w:space="0" w:color="auto"/>
        <w:left w:val="none" w:sz="0" w:space="0" w:color="auto"/>
        <w:bottom w:val="none" w:sz="0" w:space="0" w:color="auto"/>
        <w:right w:val="none" w:sz="0" w:space="0" w:color="auto"/>
      </w:divBdr>
    </w:div>
    <w:div w:id="1863980058">
      <w:bodyDiv w:val="1"/>
      <w:marLeft w:val="0"/>
      <w:marRight w:val="0"/>
      <w:marTop w:val="0"/>
      <w:marBottom w:val="0"/>
      <w:divBdr>
        <w:top w:val="none" w:sz="0" w:space="0" w:color="auto"/>
        <w:left w:val="none" w:sz="0" w:space="0" w:color="auto"/>
        <w:bottom w:val="none" w:sz="0" w:space="0" w:color="auto"/>
        <w:right w:val="none" w:sz="0" w:space="0" w:color="auto"/>
      </w:divBdr>
    </w:div>
    <w:div w:id="20535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Evans</dc:creator>
  <cp:keywords/>
  <dc:description/>
  <cp:lastModifiedBy>Bill Wyler</cp:lastModifiedBy>
  <cp:revision>2</cp:revision>
  <dcterms:created xsi:type="dcterms:W3CDTF">2020-09-17T17:55:00Z</dcterms:created>
  <dcterms:modified xsi:type="dcterms:W3CDTF">2020-09-17T17:55:00Z</dcterms:modified>
</cp:coreProperties>
</file>